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D388A" w14:textId="17CA4BFE" w:rsidR="00FE454D" w:rsidRDefault="003A50B9" w:rsidP="00CC1C7E">
      <w:pPr>
        <w:tabs>
          <w:tab w:val="num" w:pos="-1530"/>
        </w:tabs>
        <w:spacing w:after="0"/>
        <w:jc w:val="center"/>
        <w:textAlignment w:val="baseline"/>
      </w:pPr>
      <w:r w:rsidRPr="003A50B9">
        <w:rPr>
          <w:rStyle w:val="normaltextrun"/>
          <w:rFonts w:ascii="Verdana" w:eastAsiaTheme="majorEastAsia" w:hAnsi="Verdana" w:cstheme="majorBidi"/>
          <w:color w:val="000000"/>
          <w:spacing w:val="-10"/>
          <w:kern w:val="28"/>
          <w:sz w:val="44"/>
          <w:szCs w:val="44"/>
          <w:shd w:val="clear" w:color="auto" w:fill="FFFFFF"/>
        </w:rPr>
        <w:t>Data Reviewed to Identifying Targeted Areas in Which the Transition Systems Framework May Improve Transition Programming</w:t>
      </w:r>
    </w:p>
    <w:p w14:paraId="4E2239C2" w14:textId="77777777" w:rsidR="00FE454D" w:rsidRDefault="00FE454D" w:rsidP="00FE454D">
      <w:pPr>
        <w:pStyle w:val="paragraph"/>
        <w:numPr>
          <w:ilvl w:val="0"/>
          <w:numId w:val="1"/>
        </w:numPr>
        <w:tabs>
          <w:tab w:val="clear" w:pos="720"/>
          <w:tab w:val="num" w:pos="-1530"/>
        </w:tabs>
        <w:spacing w:before="0" w:beforeAutospacing="0" w:after="0" w:afterAutospacing="0"/>
        <w:ind w:left="0" w:firstLine="0"/>
        <w:textAlignment w:val="baseline"/>
        <w:rPr>
          <w:rFonts w:ascii="Verdana" w:hAnsi="Verdana"/>
        </w:rPr>
      </w:pPr>
      <w:r>
        <w:rPr>
          <w:rStyle w:val="normaltextrun"/>
          <w:rFonts w:ascii="Verdana" w:eastAsiaTheme="majorEastAsia" w:hAnsi="Verdana"/>
        </w:rPr>
        <w:t>Special Education Data Report: Most recent Indicator 13 and 14 results</w:t>
      </w:r>
      <w:r>
        <w:rPr>
          <w:rStyle w:val="eop"/>
          <w:rFonts w:ascii="Verdana" w:hAnsi="Verdana"/>
        </w:rPr>
        <w:t> </w:t>
      </w:r>
    </w:p>
    <w:p w14:paraId="120EB866" w14:textId="6AC4F93D" w:rsidR="00FE454D" w:rsidRDefault="00FE454D" w:rsidP="00FE454D">
      <w:pPr>
        <w:pStyle w:val="paragraph"/>
        <w:numPr>
          <w:ilvl w:val="0"/>
          <w:numId w:val="2"/>
        </w:numPr>
        <w:tabs>
          <w:tab w:val="clear" w:pos="720"/>
          <w:tab w:val="num" w:pos="-1440"/>
        </w:tabs>
        <w:spacing w:before="0" w:beforeAutospacing="0" w:after="0" w:afterAutospacing="0"/>
        <w:ind w:left="900" w:firstLine="0"/>
        <w:textAlignment w:val="baseline"/>
        <w:rPr>
          <w:rFonts w:ascii="Verdana" w:hAnsi="Verdana"/>
        </w:rPr>
      </w:pPr>
      <w:r>
        <w:rPr>
          <w:rStyle w:val="normaltextrun"/>
          <w:rFonts w:ascii="Verdana" w:eastAsiaTheme="majorEastAsia" w:hAnsi="Verdana"/>
        </w:rPr>
        <w:t xml:space="preserve">Indicator 13 measures the percent of youth aged 16 and above with an IEP that includes coordinated, measurable, annual IEP goals and transition services that will reasonably enable the student to meet </w:t>
      </w:r>
      <w:r w:rsidR="00BD4A69">
        <w:rPr>
          <w:rStyle w:val="normaltextrun"/>
          <w:rFonts w:ascii="Verdana" w:eastAsiaTheme="majorEastAsia" w:hAnsi="Verdana"/>
        </w:rPr>
        <w:t>post-secondary</w:t>
      </w:r>
      <w:r>
        <w:rPr>
          <w:rStyle w:val="normaltextrun"/>
          <w:rFonts w:ascii="Verdana" w:eastAsiaTheme="majorEastAsia" w:hAnsi="Verdana"/>
        </w:rPr>
        <w:t xml:space="preserve"> goals. LEAs showing a need in the initial evaluation will further undergo a readiness assessment for </w:t>
      </w:r>
      <w:r w:rsidR="008714CF">
        <w:rPr>
          <w:rStyle w:val="normaltextrun"/>
          <w:rFonts w:ascii="Verdana" w:eastAsiaTheme="majorEastAsia" w:hAnsi="Verdana"/>
        </w:rPr>
        <w:t>implementing a transition systems framework</w:t>
      </w:r>
      <w:r>
        <w:rPr>
          <w:rStyle w:val="normaltextrun"/>
          <w:rFonts w:ascii="Verdana" w:eastAsiaTheme="majorEastAsia" w:hAnsi="Verdana"/>
        </w:rPr>
        <w:t>, utilizing the LEA screening tool provided in the appendix. </w:t>
      </w:r>
      <w:r>
        <w:rPr>
          <w:rStyle w:val="eop"/>
          <w:rFonts w:ascii="Verdana" w:hAnsi="Verdana"/>
        </w:rPr>
        <w:t> </w:t>
      </w:r>
    </w:p>
    <w:p w14:paraId="59C4CA44" w14:textId="77777777" w:rsidR="00FE454D" w:rsidRDefault="00FE454D" w:rsidP="00FE454D">
      <w:pPr>
        <w:pStyle w:val="paragraph"/>
        <w:numPr>
          <w:ilvl w:val="0"/>
          <w:numId w:val="3"/>
        </w:numPr>
        <w:tabs>
          <w:tab w:val="clear" w:pos="720"/>
          <w:tab w:val="num" w:pos="-1440"/>
        </w:tabs>
        <w:spacing w:before="0" w:beforeAutospacing="0" w:after="0" w:afterAutospacing="0"/>
        <w:ind w:left="900" w:firstLine="0"/>
        <w:textAlignment w:val="baseline"/>
        <w:rPr>
          <w:rFonts w:ascii="Verdana" w:hAnsi="Verdana"/>
        </w:rPr>
      </w:pPr>
      <w:r>
        <w:rPr>
          <w:rStyle w:val="normaltextrun"/>
          <w:rFonts w:ascii="Verdana" w:eastAsiaTheme="majorEastAsia" w:hAnsi="Verdana"/>
        </w:rPr>
        <w:t>Indicator 14 has three targets it measures.  </w:t>
      </w:r>
      <w:r>
        <w:rPr>
          <w:rStyle w:val="eop"/>
          <w:rFonts w:ascii="Verdana" w:hAnsi="Verdana"/>
        </w:rPr>
        <w:t> </w:t>
      </w:r>
    </w:p>
    <w:p w14:paraId="6D9068CB" w14:textId="77777777" w:rsidR="00FE454D" w:rsidRDefault="00FE454D" w:rsidP="00FE454D">
      <w:pPr>
        <w:pStyle w:val="paragraph"/>
        <w:numPr>
          <w:ilvl w:val="0"/>
          <w:numId w:val="4"/>
        </w:numPr>
        <w:tabs>
          <w:tab w:val="clear" w:pos="720"/>
          <w:tab w:val="num" w:pos="-1440"/>
        </w:tabs>
        <w:spacing w:before="0" w:beforeAutospacing="0" w:after="0" w:afterAutospacing="0"/>
        <w:ind w:left="1440" w:firstLine="0"/>
        <w:textAlignment w:val="baseline"/>
        <w:rPr>
          <w:rFonts w:ascii="Verdana" w:hAnsi="Verdana"/>
        </w:rPr>
      </w:pPr>
      <w:r>
        <w:rPr>
          <w:rStyle w:val="normaltextrun"/>
          <w:rFonts w:ascii="Verdana" w:eastAsiaTheme="majorEastAsia" w:hAnsi="Verdana"/>
        </w:rPr>
        <w:t>Indicator 14 Target A measures the percent enrolled in higher education = [(# of youth who are no longer in secondary school, had IEPs in effect at the time they left school and were enrolled in higher education within one year of leaving high school) divided by the (# of respondent youth who are no longer in secondary school and had IEPs in effect at the time they left school)] times 100.</w:t>
      </w:r>
      <w:r>
        <w:rPr>
          <w:rStyle w:val="eop"/>
          <w:rFonts w:ascii="Verdana" w:hAnsi="Verdana"/>
        </w:rPr>
        <w:t> </w:t>
      </w:r>
    </w:p>
    <w:p w14:paraId="581128A2" w14:textId="77777777" w:rsidR="00FE454D" w:rsidRDefault="00FE454D" w:rsidP="00FE454D">
      <w:pPr>
        <w:pStyle w:val="paragraph"/>
        <w:numPr>
          <w:ilvl w:val="0"/>
          <w:numId w:val="5"/>
        </w:numPr>
        <w:tabs>
          <w:tab w:val="clear" w:pos="720"/>
          <w:tab w:val="num" w:pos="-1440"/>
        </w:tabs>
        <w:spacing w:before="0" w:beforeAutospacing="0" w:after="0" w:afterAutospacing="0"/>
        <w:ind w:left="1440" w:firstLine="0"/>
        <w:textAlignment w:val="baseline"/>
        <w:rPr>
          <w:rFonts w:ascii="Verdana" w:hAnsi="Verdana"/>
        </w:rPr>
      </w:pPr>
      <w:r>
        <w:rPr>
          <w:rStyle w:val="normaltextrun"/>
          <w:rFonts w:ascii="Verdana" w:eastAsiaTheme="majorEastAsia" w:hAnsi="Verdana"/>
        </w:rPr>
        <w:t>Indicator 14 Target B, Measures the percent enrolled in higher education or competitively employed within one year of leaving high school = [(# of youth who are no longer in secondary school, had IEPs in effect at the time they left school and were enrolled in higher education or competitively employed within one year of leaving high school) divided by the (# of respondent youth who are no longer in secondary school and had IEPs in effect at the time they left school)] times 100.</w:t>
      </w:r>
      <w:r>
        <w:rPr>
          <w:rStyle w:val="eop"/>
          <w:rFonts w:ascii="Verdana" w:hAnsi="Verdana"/>
        </w:rPr>
        <w:t> </w:t>
      </w:r>
    </w:p>
    <w:p w14:paraId="2550B67B" w14:textId="32F60C1E" w:rsidR="00FE454D" w:rsidRDefault="00BD4A69" w:rsidP="00FE454D">
      <w:pPr>
        <w:pStyle w:val="paragraph"/>
        <w:numPr>
          <w:ilvl w:val="0"/>
          <w:numId w:val="6"/>
        </w:numPr>
        <w:tabs>
          <w:tab w:val="clear" w:pos="720"/>
          <w:tab w:val="num" w:pos="-1440"/>
        </w:tabs>
        <w:spacing w:before="0" w:beforeAutospacing="0" w:after="0" w:afterAutospacing="0"/>
        <w:ind w:left="1440" w:firstLine="0"/>
        <w:textAlignment w:val="baseline"/>
        <w:rPr>
          <w:rFonts w:ascii="Verdana" w:hAnsi="Verdana"/>
        </w:rPr>
      </w:pPr>
      <w:r>
        <w:rPr>
          <w:rStyle w:val="normaltextrun"/>
          <w:rFonts w:ascii="Verdana" w:eastAsiaTheme="majorEastAsia" w:hAnsi="Verdana"/>
        </w:rPr>
        <w:t>Indicator 14 Target C</w:t>
      </w:r>
      <w:r w:rsidR="00FE454D">
        <w:rPr>
          <w:rStyle w:val="normaltextrun"/>
          <w:rFonts w:ascii="Verdana" w:eastAsiaTheme="majorEastAsia" w:hAnsi="Verdana"/>
        </w:rPr>
        <w:t xml:space="preserve"> measures the percent enrolled in higher education, or in some other postsecondary education or training program; or competitively employed or in some other employment = [(# of youth who are no longer in secondary school.</w:t>
      </w:r>
      <w:r w:rsidR="00FE454D">
        <w:rPr>
          <w:rStyle w:val="eop"/>
          <w:rFonts w:ascii="Verdana" w:hAnsi="Verdana"/>
        </w:rPr>
        <w:t> </w:t>
      </w:r>
    </w:p>
    <w:p w14:paraId="2475482E" w14:textId="77777777" w:rsidR="00FE454D" w:rsidRDefault="00FE454D" w:rsidP="00FE454D">
      <w:pPr>
        <w:pStyle w:val="paragraph"/>
        <w:numPr>
          <w:ilvl w:val="0"/>
          <w:numId w:val="7"/>
        </w:numPr>
        <w:tabs>
          <w:tab w:val="clear" w:pos="720"/>
          <w:tab w:val="num" w:pos="-1440"/>
        </w:tabs>
        <w:spacing w:before="0" w:beforeAutospacing="0" w:after="0" w:afterAutospacing="0"/>
        <w:ind w:left="0" w:firstLine="0"/>
        <w:textAlignment w:val="baseline"/>
        <w:rPr>
          <w:rFonts w:ascii="Verdana" w:hAnsi="Verdana"/>
        </w:rPr>
      </w:pPr>
      <w:r>
        <w:rPr>
          <w:rStyle w:val="normaltextrun"/>
          <w:rFonts w:ascii="Verdana" w:eastAsiaTheme="majorEastAsia" w:hAnsi="Verdana"/>
        </w:rPr>
        <w:t xml:space="preserve">Local High Priority Occupations </w:t>
      </w:r>
      <w:r>
        <w:rPr>
          <w:rStyle w:val="eop"/>
          <w:rFonts w:ascii="Verdana" w:hAnsi="Verdana"/>
        </w:rPr>
        <w:t> </w:t>
      </w:r>
    </w:p>
    <w:p w14:paraId="4E3987BD" w14:textId="77777777" w:rsidR="00FD060F" w:rsidRDefault="00FD060F"/>
    <w:sectPr w:rsidR="00FD060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8FD93" w14:textId="77777777" w:rsidR="008865CF" w:rsidRDefault="008865CF" w:rsidP="00CC1C7E">
      <w:pPr>
        <w:spacing w:after="0" w:line="240" w:lineRule="auto"/>
      </w:pPr>
      <w:r>
        <w:separator/>
      </w:r>
    </w:p>
  </w:endnote>
  <w:endnote w:type="continuationSeparator" w:id="0">
    <w:p w14:paraId="74C71665" w14:textId="77777777" w:rsidR="008865CF" w:rsidRDefault="008865CF" w:rsidP="00CC1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1222A" w14:textId="77777777" w:rsidR="008865CF" w:rsidRDefault="008865CF" w:rsidP="00CC1C7E">
      <w:pPr>
        <w:spacing w:after="0" w:line="240" w:lineRule="auto"/>
      </w:pPr>
      <w:r>
        <w:separator/>
      </w:r>
    </w:p>
  </w:footnote>
  <w:footnote w:type="continuationSeparator" w:id="0">
    <w:p w14:paraId="2D5C1235" w14:textId="77777777" w:rsidR="008865CF" w:rsidRDefault="008865CF" w:rsidP="00CC1C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17DE2" w14:textId="5429DCF5" w:rsidR="00AC2F18" w:rsidRDefault="00FF4BEF">
    <w:pPr>
      <w:pStyle w:val="Header"/>
    </w:pPr>
    <w:r>
      <w:t>Attachment</w:t>
    </w:r>
    <w:r w:rsidR="003A50B9" w:rsidRPr="003A50B9">
      <w:t xml:space="preserve"> </w:t>
    </w:r>
    <w:r>
      <w:t>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12EB7"/>
    <w:multiLevelType w:val="multilevel"/>
    <w:tmpl w:val="CD386EF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1B293A00"/>
    <w:multiLevelType w:val="multilevel"/>
    <w:tmpl w:val="7CFC4B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128353E"/>
    <w:multiLevelType w:val="multilevel"/>
    <w:tmpl w:val="9B4893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2DDF779F"/>
    <w:multiLevelType w:val="multilevel"/>
    <w:tmpl w:val="E2ECF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DB34CB"/>
    <w:multiLevelType w:val="multilevel"/>
    <w:tmpl w:val="3668BD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51CF3259"/>
    <w:multiLevelType w:val="multilevel"/>
    <w:tmpl w:val="670C9D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5602699"/>
    <w:multiLevelType w:val="multilevel"/>
    <w:tmpl w:val="D26E87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3475398">
    <w:abstractNumId w:val="4"/>
  </w:num>
  <w:num w:numId="2" w16cid:durableId="1430734775">
    <w:abstractNumId w:val="2"/>
  </w:num>
  <w:num w:numId="3" w16cid:durableId="10646112">
    <w:abstractNumId w:val="0"/>
  </w:num>
  <w:num w:numId="4" w16cid:durableId="191380991">
    <w:abstractNumId w:val="3"/>
  </w:num>
  <w:num w:numId="5" w16cid:durableId="429206289">
    <w:abstractNumId w:val="6"/>
  </w:num>
  <w:num w:numId="6" w16cid:durableId="1719620313">
    <w:abstractNumId w:val="5"/>
  </w:num>
  <w:num w:numId="7" w16cid:durableId="4501673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54D"/>
    <w:rsid w:val="003A50B9"/>
    <w:rsid w:val="003D11D6"/>
    <w:rsid w:val="007E30AA"/>
    <w:rsid w:val="008714CF"/>
    <w:rsid w:val="008865CF"/>
    <w:rsid w:val="00AC2F18"/>
    <w:rsid w:val="00BD4A69"/>
    <w:rsid w:val="00CC1C7E"/>
    <w:rsid w:val="00E10EE3"/>
    <w:rsid w:val="00F12B98"/>
    <w:rsid w:val="00FD060F"/>
    <w:rsid w:val="00FE454D"/>
    <w:rsid w:val="00FF4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D81E6"/>
  <w15:chartTrackingRefBased/>
  <w15:docId w15:val="{900FDE24-56FA-47AD-B2CA-AF4CEE897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E454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FE454D"/>
  </w:style>
  <w:style w:type="character" w:customStyle="1" w:styleId="eop">
    <w:name w:val="eop"/>
    <w:basedOn w:val="DefaultParagraphFont"/>
    <w:rsid w:val="00FE454D"/>
  </w:style>
  <w:style w:type="paragraph" w:styleId="Title">
    <w:name w:val="Title"/>
    <w:basedOn w:val="Normal"/>
    <w:next w:val="Normal"/>
    <w:link w:val="TitleChar"/>
    <w:uiPriority w:val="10"/>
    <w:qFormat/>
    <w:rsid w:val="00FE45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454D"/>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CC1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C7E"/>
  </w:style>
  <w:style w:type="paragraph" w:styleId="Footer">
    <w:name w:val="footer"/>
    <w:basedOn w:val="Normal"/>
    <w:link w:val="FooterChar"/>
    <w:uiPriority w:val="99"/>
    <w:unhideWhenUsed/>
    <w:rsid w:val="00CC1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1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Hubbell, Hillary</dc:creator>
  <cp:keywords/>
  <dc:description/>
  <cp:lastModifiedBy>Hubbell, Hillary</cp:lastModifiedBy>
  <cp:revision>6</cp:revision>
  <dcterms:created xsi:type="dcterms:W3CDTF">2024-10-18T16:49:00Z</dcterms:created>
  <dcterms:modified xsi:type="dcterms:W3CDTF">2024-10-22T16:17:00Z</dcterms:modified>
</cp:coreProperties>
</file>