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57B06" w:rsidP="0085237C" w:rsidRDefault="00B57B06" w14:paraId="104F3C70" w14:textId="7A292F31">
      <w:pPr>
        <w:pStyle w:val="Heading1"/>
        <w:spacing w:before="0"/>
        <w:jc w:val="center"/>
      </w:pPr>
      <w:r>
        <w:t>Digital Accessibility Requirements</w:t>
      </w:r>
    </w:p>
    <w:p w:rsidR="00504EF6" w:rsidP="00B57B06" w:rsidRDefault="00504EF6" w14:paraId="1E3BCCF0" w14:textId="77777777"/>
    <w:p w:rsidR="007B56C7" w:rsidP="007B56C7" w:rsidRDefault="007B56C7" w14:paraId="28462B1C" w14:textId="77777777">
      <w:r>
        <w:t>The Commonwealth promotes equal access to employees and residents with disabilities as shown in:</w:t>
      </w:r>
    </w:p>
    <w:p w:rsidRPr="00B57B06" w:rsidR="007B56C7" w:rsidP="007B56C7" w:rsidRDefault="007B56C7" w14:paraId="26F096B5" w14:textId="77777777">
      <w:pPr>
        <w:pStyle w:val="ListParagraph"/>
        <w:numPr>
          <w:ilvl w:val="0"/>
          <w:numId w:val="24"/>
        </w:numPr>
      </w:pPr>
      <w:hyperlink w:history="1" r:id="rId10">
        <w:r w:rsidRPr="00B57B06">
          <w:rPr>
            <w:rStyle w:val="Hyperlink"/>
          </w:rPr>
          <w:t>Executive Order 2016-03</w:t>
        </w:r>
      </w:hyperlink>
      <w:r>
        <w:t xml:space="preserve"> - </w:t>
      </w:r>
      <w:r w:rsidRPr="00B57B06">
        <w:rPr>
          <w:i/>
          <w:iCs/>
        </w:rPr>
        <w:t>Establishing “Employment First” Policy and Increasing Competitive Integrated Employment for Pennsylvanians with a Disability</w:t>
      </w:r>
    </w:p>
    <w:p w:rsidR="007B56C7" w:rsidP="007B56C7" w:rsidRDefault="007B56C7" w14:paraId="76D266CE" w14:textId="77777777">
      <w:pPr>
        <w:pStyle w:val="ListParagraph"/>
        <w:numPr>
          <w:ilvl w:val="0"/>
          <w:numId w:val="24"/>
        </w:numPr>
        <w:rPr>
          <w:i/>
          <w:iCs/>
        </w:rPr>
      </w:pPr>
      <w:hyperlink w:history="1" r:id="rId11">
        <w:r>
          <w:rPr>
            <w:rStyle w:val="Hyperlink"/>
          </w:rPr>
          <w:t xml:space="preserve">Executive Order 2023-08 </w:t>
        </w:r>
      </w:hyperlink>
      <w:r>
        <w:t xml:space="preserve"> - </w:t>
      </w:r>
      <w:r>
        <w:rPr>
          <w:i/>
          <w:iCs/>
        </w:rPr>
        <w:t>Bolstering Service Delivery through a Digital Experience Strategy</w:t>
      </w:r>
    </w:p>
    <w:p w:rsidR="007B56C7" w:rsidP="007B56C7" w:rsidRDefault="007B56C7" w14:paraId="00BEF0DD" w14:textId="77777777">
      <w:pPr>
        <w:pStyle w:val="ListParagraph"/>
        <w:numPr>
          <w:ilvl w:val="0"/>
          <w:numId w:val="24"/>
        </w:numPr>
        <w:rPr>
          <w:i/>
          <w:iCs/>
        </w:rPr>
      </w:pPr>
      <w:hyperlink w:history="1" r:id="rId12">
        <w:r w:rsidRPr="00D9222F">
          <w:rPr>
            <w:rStyle w:val="Hyperlink"/>
          </w:rPr>
          <w:t>IT Policy ACC001</w:t>
        </w:r>
      </w:hyperlink>
      <w:r>
        <w:t xml:space="preserve"> – </w:t>
      </w:r>
      <w:r w:rsidRPr="00B57B06">
        <w:rPr>
          <w:i/>
          <w:iCs/>
        </w:rPr>
        <w:t>Digital Accessibility Policy</w:t>
      </w:r>
    </w:p>
    <w:p w:rsidRPr="007D6C5E" w:rsidR="007B56C7" w:rsidP="007B56C7" w:rsidRDefault="007B56C7" w14:paraId="382B03DC" w14:textId="35319DF4">
      <w:pPr>
        <w:spacing w:before="120" w:after="120"/>
      </w:pPr>
      <w:r w:rsidRPr="00C178C5">
        <w:t xml:space="preserve">Equal access ensures that employees and residents who use assistive technologies </w:t>
      </w:r>
      <w:r w:rsidRPr="007D6C5E">
        <w:t xml:space="preserve">(screen readers, magnifiers, speech-to-text, etc.) to access digital content and services, as defined in </w:t>
      </w:r>
      <w:hyperlink w:history="1" r:id="rId13">
        <w:r w:rsidRPr="007D6C5E">
          <w:rPr>
            <w:rStyle w:val="Hyperlink"/>
            <w:color w:val="auto"/>
          </w:rPr>
          <w:t>ITP-ACC001</w:t>
        </w:r>
      </w:hyperlink>
      <w:r w:rsidRPr="007D6C5E">
        <w:t>, that includes but is not limited to electronic content, software, hardware, and support documentation and services, are able to access Commonwealth digital information and services.</w:t>
      </w:r>
    </w:p>
    <w:p w:rsidR="007B56C7" w:rsidP="007B56C7" w:rsidRDefault="007B56C7" w14:paraId="653FE3E4" w14:textId="77777777">
      <w:pPr>
        <w:spacing w:before="120" w:after="120"/>
      </w:pPr>
      <w:r>
        <w:t>To support these objectives, the supplier shall:</w:t>
      </w:r>
    </w:p>
    <w:p w:rsidR="008379D8" w:rsidP="00B74896" w:rsidRDefault="008379D8" w14:paraId="3301EB96" w14:textId="1291BB66">
      <w:pPr>
        <w:pStyle w:val="ListParagraph"/>
        <w:numPr>
          <w:ilvl w:val="0"/>
          <w:numId w:val="25"/>
        </w:numPr>
        <w:spacing w:before="120" w:after="120"/>
        <w:rPr/>
      </w:pPr>
      <w:r w:rsidR="008379D8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Provide a completed Policy Driven Adoption for Accessibility (PDAA) Assessment, using the template </w:t>
      </w:r>
      <w:r w:rsidR="008379D8">
        <w:rPr>
          <w:rStyle w:val="normaltextrun"/>
          <w:rFonts w:ascii="Calibri" w:hAnsi="Calibri" w:cs="Calibri"/>
          <w:b w:val="1"/>
          <w:bCs w:val="1"/>
          <w:color w:val="000000"/>
          <w:shd w:val="clear" w:color="auto" w:fill="FFFFFF"/>
        </w:rPr>
        <w:t>Appendix</w:t>
      </w:r>
      <w:r w:rsidRPr="001C1A23" w:rsidR="008379D8">
        <w:rPr>
          <w:rStyle w:val="normaltextrun"/>
          <w:rFonts w:ascii="Calibri" w:hAnsi="Calibri" w:cs="Calibri"/>
          <w:b w:val="1"/>
          <w:bCs w:val="1"/>
          <w:shd w:val="clear" w:color="auto" w:fill="FFFFFF"/>
        </w:rPr>
        <w:t xml:space="preserve"> </w:t>
      </w:r>
      <w:r w:rsidRPr="001C1A23" w:rsidR="74B89D23">
        <w:rPr>
          <w:rStyle w:val="normaltextrun"/>
          <w:rFonts w:ascii="Calibri" w:hAnsi="Calibri" w:cs="Calibri"/>
          <w:b w:val="1"/>
          <w:bCs w:val="1"/>
          <w:shd w:val="clear" w:color="auto" w:fill="FFFFFF"/>
        </w:rPr>
        <w:t xml:space="preserve">K</w:t>
      </w:r>
      <w:r w:rsidRPr="001C1A23" w:rsidR="001C1A23">
        <w:rPr>
          <w:rStyle w:val="normaltextrun"/>
          <w:rFonts w:ascii="Calibri" w:hAnsi="Calibri" w:cs="Calibri"/>
          <w:b w:val="1"/>
          <w:bCs w:val="1"/>
          <w:shd w:val="clear" w:color="auto" w:fill="FFFFFF"/>
        </w:rPr>
        <w:t xml:space="preserve">, </w:t>
      </w:r>
      <w:r w:rsidR="008379D8">
        <w:rPr>
          <w:rStyle w:val="normaltextrun"/>
          <w:rFonts w:ascii="Calibri" w:hAnsi="Calibri" w:cs="Calibri"/>
          <w:b w:val="1"/>
          <w:bCs w:val="1"/>
          <w:color w:val="000000"/>
          <w:shd w:val="clear" w:color="auto" w:fill="FFFFFF"/>
        </w:rPr>
        <w:t>PDAA Assessment</w:t>
      </w:r>
      <w:r w:rsidR="008379D8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, to detail the supplier’s strong accessibility program, </w:t>
      </w:r>
      <w:r w:rsidR="008379D8">
        <w:rPr>
          <w:rStyle w:val="normaltextrun"/>
          <w:rFonts w:ascii="Calibri" w:hAnsi="Calibri" w:cs="Calibri"/>
          <w:color w:val="000000"/>
          <w:shd w:val="clear" w:color="auto" w:fill="FFFFFF"/>
        </w:rPr>
        <w:t>capabilities</w:t>
      </w:r>
      <w:r w:rsidR="008379D8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and intention to continually improve the maturity of its accessibility program and services, reflected in the current culture, policies, processes, and procedures of the organization.</w:t>
      </w:r>
      <w:r w:rsidR="008379D8"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:rsidR="00E6624B" w:rsidP="00B74896" w:rsidRDefault="00302666" w14:paraId="2E1FAE24" w14:textId="1B6F1C67">
      <w:pPr>
        <w:pStyle w:val="ListParagraph"/>
        <w:numPr>
          <w:ilvl w:val="0"/>
          <w:numId w:val="25"/>
        </w:numPr>
        <w:spacing w:before="120" w:after="120"/>
      </w:pPr>
      <w:r>
        <w:t xml:space="preserve">Provide an Accessibility Conformance Report (ACR) using the current version of the Voluntary Product Accessibility Template (VPAT) found on the </w:t>
      </w:r>
      <w:hyperlink w:history="1" r:id="rId14">
        <w:r w:rsidRPr="00302666">
          <w:rPr>
            <w:rStyle w:val="Hyperlink"/>
          </w:rPr>
          <w:t>I</w:t>
        </w:r>
        <w:hyperlink w:tgtFrame="_blank" w:history="1" r:id="rId15">
          <w:r w:rsidR="00EC7AC7">
            <w:rPr>
              <w:rStyle w:val="normaltextrun"/>
              <w:rFonts w:ascii="Calibri" w:hAnsi="Calibri" w:cs="Calibri"/>
              <w:i/>
              <w:iCs/>
              <w:color w:val="C00000"/>
              <w:u w:val="single"/>
              <w:shd w:val="clear" w:color="auto" w:fill="FFFFFF"/>
            </w:rPr>
            <w:t>Information Technology Industry (ITI) Council website</w:t>
          </w:r>
        </w:hyperlink>
      </w:hyperlink>
      <w:r>
        <w:t xml:space="preserve"> for </w:t>
      </w:r>
      <w:r w:rsidR="002023FE">
        <w:t xml:space="preserve">hardware and software </w:t>
      </w:r>
      <w:r>
        <w:t>included in this response.</w:t>
      </w:r>
    </w:p>
    <w:p w:rsidR="00E6170B" w:rsidP="00B74896" w:rsidRDefault="003766F0" w14:paraId="28D2A7D8" w14:textId="1C64FD5B">
      <w:pPr>
        <w:pStyle w:val="ListParagraph"/>
        <w:numPr>
          <w:ilvl w:val="0"/>
          <w:numId w:val="25"/>
        </w:numPr>
        <w:spacing w:before="120" w:after="120"/>
      </w:pPr>
      <w:r>
        <w:t>Meet Section 508 Standards (Revised) functional criteria:</w:t>
      </w:r>
    </w:p>
    <w:p w:rsidR="003766F0" w:rsidP="003766F0" w:rsidRDefault="006627DB" w14:paraId="69585629" w14:textId="1B087F1D">
      <w:pPr>
        <w:pStyle w:val="ListParagraph"/>
        <w:numPr>
          <w:ilvl w:val="1"/>
          <w:numId w:val="25"/>
        </w:numPr>
        <w:spacing w:before="120" w:after="120"/>
      </w:pPr>
      <w:r>
        <w:t xml:space="preserve">Where a visual </w:t>
      </w:r>
      <w:r w:rsidRPr="008358C7" w:rsidR="00C34FD9">
        <w:t>mode</w:t>
      </w:r>
      <w:r w:rsidRPr="008358C7">
        <w:t xml:space="preserve"> of operation is provided, </w:t>
      </w:r>
      <w:r w:rsidRPr="008358C7" w:rsidR="00FA5FE0">
        <w:t xml:space="preserve">provide at least one mode of operation that does not require user </w:t>
      </w:r>
      <w:r w:rsidRPr="008358C7" w:rsidR="005C0060">
        <w:t xml:space="preserve">to </w:t>
      </w:r>
      <w:r w:rsidR="005C0060">
        <w:t>have vision</w:t>
      </w:r>
      <w:r w:rsidR="003B6532">
        <w:t xml:space="preserve">, </w:t>
      </w:r>
      <w:r w:rsidR="005C0060">
        <w:t>enables a user to make sure of limited vision</w:t>
      </w:r>
      <w:r w:rsidR="003B6532">
        <w:t xml:space="preserve">, or does not require user to </w:t>
      </w:r>
      <w:r w:rsidR="00240CD3">
        <w:t>perceive color.</w:t>
      </w:r>
    </w:p>
    <w:p w:rsidR="005C0060" w:rsidP="003766F0" w:rsidRDefault="00240CD3" w14:paraId="7467B5E9" w14:textId="17138D2D">
      <w:pPr>
        <w:pStyle w:val="ListParagraph"/>
        <w:numPr>
          <w:ilvl w:val="1"/>
          <w:numId w:val="25"/>
        </w:numPr>
        <w:spacing w:before="120" w:after="120"/>
      </w:pPr>
      <w:r>
        <w:t xml:space="preserve">Where an audible mode of operation is provided, </w:t>
      </w:r>
      <w:r w:rsidR="00C065D8">
        <w:t>provide at least one mode of operation that does not require user to have hearing</w:t>
      </w:r>
      <w:r w:rsidR="004802CA">
        <w:t xml:space="preserve"> or enables user to make use of limited hearing.</w:t>
      </w:r>
    </w:p>
    <w:p w:rsidR="004802CA" w:rsidP="003766F0" w:rsidRDefault="004802CA" w14:paraId="641BA4FA" w14:textId="16171CC5">
      <w:pPr>
        <w:pStyle w:val="ListParagraph"/>
        <w:numPr>
          <w:ilvl w:val="1"/>
          <w:numId w:val="25"/>
        </w:numPr>
        <w:spacing w:before="120" w:after="120"/>
      </w:pPr>
      <w:r>
        <w:t>Where speech is used for input, control, or operation</w:t>
      </w:r>
      <w:r w:rsidR="0054226F">
        <w:t xml:space="preserve">, provide at least one mode of </w:t>
      </w:r>
      <w:r w:rsidRPr="008358C7" w:rsidR="0054226F">
        <w:t xml:space="preserve">operation </w:t>
      </w:r>
      <w:r w:rsidRPr="008358C7" w:rsidR="00D2098B">
        <w:t>that</w:t>
      </w:r>
      <w:r w:rsidRPr="008358C7" w:rsidR="00A3521F">
        <w:t xml:space="preserve"> </w:t>
      </w:r>
      <w:r w:rsidRPr="008358C7" w:rsidR="0054226F">
        <w:t>doe</w:t>
      </w:r>
      <w:r w:rsidR="0054226F">
        <w:t>s not require user to speak.</w:t>
      </w:r>
    </w:p>
    <w:p w:rsidR="0054226F" w:rsidP="003766F0" w:rsidRDefault="002F356B" w14:paraId="6A239F61" w14:textId="0177BFDD">
      <w:pPr>
        <w:pStyle w:val="ListParagraph"/>
        <w:numPr>
          <w:ilvl w:val="1"/>
          <w:numId w:val="25"/>
        </w:numPr>
        <w:spacing w:before="120" w:after="120"/>
      </w:pPr>
      <w:r>
        <w:t xml:space="preserve">Where a manual mode of operation is provided, provide at least one mode of operation </w:t>
      </w:r>
      <w:r w:rsidRPr="008358C7" w:rsidR="00D2098B">
        <w:t xml:space="preserve">that </w:t>
      </w:r>
      <w:r w:rsidRPr="008358C7" w:rsidR="00AB2CB9">
        <w:t xml:space="preserve">does </w:t>
      </w:r>
      <w:r w:rsidR="00AB2CB9">
        <w:t>not require fine motor control or simultaneous manual operations</w:t>
      </w:r>
      <w:r w:rsidR="002F37C5">
        <w:t>, or is operable with limited reach and limited strength.</w:t>
      </w:r>
    </w:p>
    <w:p w:rsidR="00802748" w:rsidP="003766F0" w:rsidRDefault="00802748" w14:paraId="6F15EA22" w14:textId="55E5EBDC">
      <w:pPr>
        <w:pStyle w:val="ListParagraph"/>
        <w:numPr>
          <w:ilvl w:val="1"/>
          <w:numId w:val="25"/>
        </w:numPr>
        <w:spacing w:before="120" w:after="120"/>
      </w:pPr>
      <w:r>
        <w:t>Provide feature making its use by individuals with limited cognitive, language, and learning abilities simpler and easier.</w:t>
      </w:r>
    </w:p>
    <w:p w:rsidR="00EC1B36" w:rsidP="00B74896" w:rsidRDefault="0010277D" w14:paraId="4959484A" w14:textId="10AC2E14">
      <w:pPr>
        <w:pStyle w:val="ListParagraph"/>
        <w:numPr>
          <w:ilvl w:val="0"/>
          <w:numId w:val="25"/>
        </w:numPr>
        <w:spacing w:before="120" w:after="120"/>
      </w:pPr>
      <w:r>
        <w:t>Provide docu</w:t>
      </w:r>
      <w:r w:rsidR="00B46081">
        <w:t>mentation that lists and explains how to use the accessibility and compatibility features</w:t>
      </w:r>
      <w:r w:rsidR="00AB102D">
        <w:t>)</w:t>
      </w:r>
      <w:r w:rsidR="00CB39A2">
        <w:t xml:space="preserve"> and include accessibility features that are built-in and accessibility features that provide compatibility with assistive technology.</w:t>
      </w:r>
    </w:p>
    <w:p w:rsidR="005F478F" w:rsidP="00593779" w:rsidRDefault="005F478F" w14:paraId="7E049BC9" w14:textId="735CE6BA">
      <w:pPr>
        <w:pStyle w:val="ListParagraph"/>
        <w:numPr>
          <w:ilvl w:val="1"/>
          <w:numId w:val="25"/>
        </w:numPr>
        <w:spacing w:before="120" w:after="120"/>
      </w:pPr>
      <w:r>
        <w:t>Documentation in electronic format</w:t>
      </w:r>
      <w:r w:rsidR="00E76B03">
        <w:t>, including web-based</w:t>
      </w:r>
      <w:r w:rsidR="008819BF">
        <w:t>, self-service support,</w:t>
      </w:r>
      <w:r w:rsidR="00E76B03">
        <w:t xml:space="preserve"> shall </w:t>
      </w:r>
      <w:r w:rsidR="008819BF">
        <w:t>conform to that current version of the Web Content Accessibility Guidelines (WCAG).</w:t>
      </w:r>
    </w:p>
    <w:p w:rsidR="00B2051A" w:rsidP="00593779" w:rsidRDefault="00B2051A" w14:paraId="4E0C5E67" w14:textId="7BF6A448">
      <w:pPr>
        <w:pStyle w:val="ListParagraph"/>
        <w:numPr>
          <w:ilvl w:val="1"/>
          <w:numId w:val="25"/>
        </w:numPr>
        <w:spacing w:before="120" w:after="120"/>
      </w:pPr>
      <w:r>
        <w:t>If support documentation is only provided in non-electronic formats, alternat</w:t>
      </w:r>
      <w:r w:rsidR="0091570D">
        <w:t>e formats usable by people with disabilities shall be provided upon request.</w:t>
      </w:r>
    </w:p>
    <w:p w:rsidR="008A3E7C" w:rsidP="008A3E7C" w:rsidRDefault="008A3E7C" w14:paraId="7E60A9B7" w14:textId="454FE1F1">
      <w:pPr>
        <w:pStyle w:val="ListParagraph"/>
        <w:numPr>
          <w:ilvl w:val="0"/>
          <w:numId w:val="25"/>
        </w:numPr>
        <w:spacing w:before="120" w:after="120"/>
      </w:pPr>
      <w:r>
        <w:t xml:space="preserve">Provide training and other support materials (employee websites/portals, documentation) that </w:t>
      </w:r>
      <w:r w:rsidRPr="00A74634">
        <w:t>employees and</w:t>
      </w:r>
      <w:r w:rsidR="0060314F">
        <w:t>/or</w:t>
      </w:r>
      <w:r w:rsidRPr="00A74634">
        <w:t xml:space="preserve"> residents </w:t>
      </w:r>
      <w:r>
        <w:t>must access in an accessible format.</w:t>
      </w:r>
    </w:p>
    <w:p w:rsidRPr="00311597" w:rsidR="008A3E7C" w:rsidP="00D20FBA" w:rsidRDefault="008A3E7C" w14:paraId="25239F4A" w14:textId="7F37E1B7">
      <w:pPr>
        <w:pStyle w:val="ListParagraph"/>
        <w:rPr>
          <w:rFonts w:cstheme="minorHAnsi"/>
        </w:rPr>
      </w:pPr>
    </w:p>
    <w:p w:rsidR="008A3E7C" w:rsidP="00DC2409" w:rsidRDefault="008A3E7C" w14:paraId="391C75E3" w14:textId="77777777">
      <w:pPr>
        <w:pStyle w:val="ListParagraph"/>
        <w:spacing w:before="120" w:after="120"/>
      </w:pPr>
    </w:p>
    <w:sectPr w:rsidR="008A3E7C">
      <w:footerReference w:type="default" r:id="rId16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87290" w:rsidP="00FA044D" w:rsidRDefault="00C87290" w14:paraId="223312B3" w14:textId="77777777">
      <w:r>
        <w:separator/>
      </w:r>
    </w:p>
  </w:endnote>
  <w:endnote w:type="continuationSeparator" w:id="0">
    <w:p w:rsidR="00C87290" w:rsidP="00FA044D" w:rsidRDefault="00C87290" w14:paraId="55BF942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922248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34572" w:rsidRDefault="00534572" w14:paraId="5058CA50" w14:textId="4A5889A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Pr="00160FA9" w:rsidR="00FA044D" w:rsidP="00534572" w:rsidRDefault="00534572" w14:paraId="43FD422F" w14:textId="554CCA7E">
    <w:pPr>
      <w:pStyle w:val="Header"/>
      <w:rPr>
        <w:sz w:val="16"/>
        <w:szCs w:val="16"/>
      </w:rPr>
    </w:pPr>
    <w:r w:rsidRPr="00160FA9">
      <w:rPr>
        <w:sz w:val="16"/>
        <w:szCs w:val="16"/>
      </w:rPr>
      <w:t>Digital Accessibility Requirements |</w:t>
    </w:r>
    <w:r w:rsidR="00B36E00">
      <w:rPr>
        <w:sz w:val="16"/>
        <w:szCs w:val="16"/>
      </w:rPr>
      <w:t>Hardware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87290" w:rsidP="00FA044D" w:rsidRDefault="00C87290" w14:paraId="49089ED3" w14:textId="77777777">
      <w:r>
        <w:separator/>
      </w:r>
    </w:p>
  </w:footnote>
  <w:footnote w:type="continuationSeparator" w:id="0">
    <w:p w:rsidR="00C87290" w:rsidP="00FA044D" w:rsidRDefault="00C87290" w14:paraId="2D167BB4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23B13"/>
    <w:multiLevelType w:val="hybridMultilevel"/>
    <w:tmpl w:val="19D2DA9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E4E51EE"/>
    <w:multiLevelType w:val="hybridMultilevel"/>
    <w:tmpl w:val="A482788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244056FF"/>
    <w:multiLevelType w:val="hybridMultilevel"/>
    <w:tmpl w:val="78C462D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DA671E4"/>
    <w:multiLevelType w:val="hybridMultilevel"/>
    <w:tmpl w:val="A5BEDDF0"/>
    <w:lvl w:ilvl="0" w:tplc="BEE63294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30A039B1"/>
    <w:multiLevelType w:val="hybridMultilevel"/>
    <w:tmpl w:val="DC845D9A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79210574">
    <w:abstractNumId w:val="24"/>
  </w:num>
  <w:num w:numId="2" w16cid:durableId="1255432359">
    <w:abstractNumId w:val="13"/>
  </w:num>
  <w:num w:numId="3" w16cid:durableId="18512972">
    <w:abstractNumId w:val="10"/>
  </w:num>
  <w:num w:numId="4" w16cid:durableId="1380058597">
    <w:abstractNumId w:val="26"/>
  </w:num>
  <w:num w:numId="5" w16cid:durableId="1366832321">
    <w:abstractNumId w:val="14"/>
  </w:num>
  <w:num w:numId="6" w16cid:durableId="140847303">
    <w:abstractNumId w:val="21"/>
  </w:num>
  <w:num w:numId="7" w16cid:durableId="1390035837">
    <w:abstractNumId w:val="23"/>
  </w:num>
  <w:num w:numId="8" w16cid:durableId="683899573">
    <w:abstractNumId w:val="9"/>
  </w:num>
  <w:num w:numId="9" w16cid:durableId="1613512415">
    <w:abstractNumId w:val="7"/>
  </w:num>
  <w:num w:numId="10" w16cid:durableId="1950695337">
    <w:abstractNumId w:val="6"/>
  </w:num>
  <w:num w:numId="11" w16cid:durableId="2146192973">
    <w:abstractNumId w:val="5"/>
  </w:num>
  <w:num w:numId="12" w16cid:durableId="1339961919">
    <w:abstractNumId w:val="4"/>
  </w:num>
  <w:num w:numId="13" w16cid:durableId="1488017422">
    <w:abstractNumId w:val="8"/>
  </w:num>
  <w:num w:numId="14" w16cid:durableId="974682090">
    <w:abstractNumId w:val="3"/>
  </w:num>
  <w:num w:numId="15" w16cid:durableId="1371494716">
    <w:abstractNumId w:val="2"/>
  </w:num>
  <w:num w:numId="16" w16cid:durableId="2089961935">
    <w:abstractNumId w:val="1"/>
  </w:num>
  <w:num w:numId="17" w16cid:durableId="700861070">
    <w:abstractNumId w:val="0"/>
  </w:num>
  <w:num w:numId="18" w16cid:durableId="1092241572">
    <w:abstractNumId w:val="17"/>
  </w:num>
  <w:num w:numId="19" w16cid:durableId="1762332750">
    <w:abstractNumId w:val="19"/>
  </w:num>
  <w:num w:numId="20" w16cid:durableId="825631391">
    <w:abstractNumId w:val="25"/>
  </w:num>
  <w:num w:numId="21" w16cid:durableId="1295982898">
    <w:abstractNumId w:val="22"/>
  </w:num>
  <w:num w:numId="22" w16cid:durableId="772088357">
    <w:abstractNumId w:val="12"/>
  </w:num>
  <w:num w:numId="23" w16cid:durableId="1843549972">
    <w:abstractNumId w:val="27"/>
  </w:num>
  <w:num w:numId="24" w16cid:durableId="101536296">
    <w:abstractNumId w:val="11"/>
  </w:num>
  <w:num w:numId="25" w16cid:durableId="1249122606">
    <w:abstractNumId w:val="16"/>
  </w:num>
  <w:num w:numId="26" w16cid:durableId="533887875">
    <w:abstractNumId w:val="20"/>
  </w:num>
  <w:num w:numId="27" w16cid:durableId="1949123368">
    <w:abstractNumId w:val="18"/>
  </w:num>
  <w:num w:numId="28" w16cid:durableId="167765900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attachedTemplate r:id="rId1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B06"/>
    <w:rsid w:val="00004FF4"/>
    <w:rsid w:val="00081464"/>
    <w:rsid w:val="0009294F"/>
    <w:rsid w:val="00096F1C"/>
    <w:rsid w:val="000D72B1"/>
    <w:rsid w:val="0010277D"/>
    <w:rsid w:val="00112F8C"/>
    <w:rsid w:val="00124B59"/>
    <w:rsid w:val="00134D44"/>
    <w:rsid w:val="001544C9"/>
    <w:rsid w:val="00160FA9"/>
    <w:rsid w:val="00176A61"/>
    <w:rsid w:val="001C1A23"/>
    <w:rsid w:val="002023FE"/>
    <w:rsid w:val="00220A7E"/>
    <w:rsid w:val="0022542E"/>
    <w:rsid w:val="00240CD3"/>
    <w:rsid w:val="00247AC7"/>
    <w:rsid w:val="00280168"/>
    <w:rsid w:val="0028542D"/>
    <w:rsid w:val="002B69E0"/>
    <w:rsid w:val="002D559B"/>
    <w:rsid w:val="002D6C29"/>
    <w:rsid w:val="002F356B"/>
    <w:rsid w:val="002F37C5"/>
    <w:rsid w:val="00302666"/>
    <w:rsid w:val="00312FD9"/>
    <w:rsid w:val="00316135"/>
    <w:rsid w:val="003766F0"/>
    <w:rsid w:val="0038538E"/>
    <w:rsid w:val="0039157F"/>
    <w:rsid w:val="003A67C9"/>
    <w:rsid w:val="003B6532"/>
    <w:rsid w:val="00403600"/>
    <w:rsid w:val="004511B2"/>
    <w:rsid w:val="004802CA"/>
    <w:rsid w:val="00481633"/>
    <w:rsid w:val="004A1D95"/>
    <w:rsid w:val="004C0C42"/>
    <w:rsid w:val="004E445A"/>
    <w:rsid w:val="004F69B5"/>
    <w:rsid w:val="00504EF6"/>
    <w:rsid w:val="00534572"/>
    <w:rsid w:val="0054226F"/>
    <w:rsid w:val="0054440C"/>
    <w:rsid w:val="00586AE1"/>
    <w:rsid w:val="00593779"/>
    <w:rsid w:val="005C0060"/>
    <w:rsid w:val="005D677F"/>
    <w:rsid w:val="005F478F"/>
    <w:rsid w:val="0060314F"/>
    <w:rsid w:val="00641C66"/>
    <w:rsid w:val="00645252"/>
    <w:rsid w:val="006627DB"/>
    <w:rsid w:val="00677752"/>
    <w:rsid w:val="00686805"/>
    <w:rsid w:val="00695DCF"/>
    <w:rsid w:val="006C406B"/>
    <w:rsid w:val="006D3D74"/>
    <w:rsid w:val="006D6351"/>
    <w:rsid w:val="00711B2F"/>
    <w:rsid w:val="00723A93"/>
    <w:rsid w:val="00762F1A"/>
    <w:rsid w:val="007A0F9A"/>
    <w:rsid w:val="007A4E12"/>
    <w:rsid w:val="007B0578"/>
    <w:rsid w:val="007B56C7"/>
    <w:rsid w:val="007E3CD7"/>
    <w:rsid w:val="00802748"/>
    <w:rsid w:val="00803331"/>
    <w:rsid w:val="00803E3A"/>
    <w:rsid w:val="008159E3"/>
    <w:rsid w:val="008263F6"/>
    <w:rsid w:val="0083569A"/>
    <w:rsid w:val="008358C7"/>
    <w:rsid w:val="008379D8"/>
    <w:rsid w:val="00841871"/>
    <w:rsid w:val="0085237C"/>
    <w:rsid w:val="00860A9A"/>
    <w:rsid w:val="008819BF"/>
    <w:rsid w:val="00882686"/>
    <w:rsid w:val="00883D46"/>
    <w:rsid w:val="008A3E7C"/>
    <w:rsid w:val="008E04F3"/>
    <w:rsid w:val="009132A2"/>
    <w:rsid w:val="0091570D"/>
    <w:rsid w:val="0092281C"/>
    <w:rsid w:val="0092510C"/>
    <w:rsid w:val="009538E8"/>
    <w:rsid w:val="00954EBC"/>
    <w:rsid w:val="009819FD"/>
    <w:rsid w:val="009D76ED"/>
    <w:rsid w:val="009E3443"/>
    <w:rsid w:val="009E6A4C"/>
    <w:rsid w:val="00A14D5C"/>
    <w:rsid w:val="00A25892"/>
    <w:rsid w:val="00A3521F"/>
    <w:rsid w:val="00A537A2"/>
    <w:rsid w:val="00A63CC4"/>
    <w:rsid w:val="00A65EB9"/>
    <w:rsid w:val="00A9204E"/>
    <w:rsid w:val="00AB102D"/>
    <w:rsid w:val="00AB2CB9"/>
    <w:rsid w:val="00AB5975"/>
    <w:rsid w:val="00B10D1B"/>
    <w:rsid w:val="00B2051A"/>
    <w:rsid w:val="00B36E00"/>
    <w:rsid w:val="00B45456"/>
    <w:rsid w:val="00B46081"/>
    <w:rsid w:val="00B57B06"/>
    <w:rsid w:val="00B6145A"/>
    <w:rsid w:val="00B74896"/>
    <w:rsid w:val="00B82C3C"/>
    <w:rsid w:val="00BA6FA7"/>
    <w:rsid w:val="00BB781E"/>
    <w:rsid w:val="00C065D8"/>
    <w:rsid w:val="00C06DDF"/>
    <w:rsid w:val="00C1718E"/>
    <w:rsid w:val="00C34FD9"/>
    <w:rsid w:val="00C44985"/>
    <w:rsid w:val="00C70EC8"/>
    <w:rsid w:val="00C85528"/>
    <w:rsid w:val="00C87290"/>
    <w:rsid w:val="00C96690"/>
    <w:rsid w:val="00CB39A2"/>
    <w:rsid w:val="00CC34AF"/>
    <w:rsid w:val="00D02EB5"/>
    <w:rsid w:val="00D12233"/>
    <w:rsid w:val="00D2098B"/>
    <w:rsid w:val="00D20FBA"/>
    <w:rsid w:val="00D9222F"/>
    <w:rsid w:val="00DA51B6"/>
    <w:rsid w:val="00DC1EBA"/>
    <w:rsid w:val="00DC2409"/>
    <w:rsid w:val="00DE5AB3"/>
    <w:rsid w:val="00E063ED"/>
    <w:rsid w:val="00E333FE"/>
    <w:rsid w:val="00E52E61"/>
    <w:rsid w:val="00E6170B"/>
    <w:rsid w:val="00E6624B"/>
    <w:rsid w:val="00E7105F"/>
    <w:rsid w:val="00E76B03"/>
    <w:rsid w:val="00E95864"/>
    <w:rsid w:val="00EB4247"/>
    <w:rsid w:val="00EB5ADC"/>
    <w:rsid w:val="00EC1B36"/>
    <w:rsid w:val="00EC317D"/>
    <w:rsid w:val="00EC7AC7"/>
    <w:rsid w:val="00F12868"/>
    <w:rsid w:val="00F14B13"/>
    <w:rsid w:val="00F252AD"/>
    <w:rsid w:val="00F45822"/>
    <w:rsid w:val="00F617B6"/>
    <w:rsid w:val="00F82645"/>
    <w:rsid w:val="00F83E95"/>
    <w:rsid w:val="00FA044D"/>
    <w:rsid w:val="00FA5FE0"/>
    <w:rsid w:val="00FB5B81"/>
    <w:rsid w:val="00FC3AB6"/>
    <w:rsid w:val="00FD12F2"/>
    <w:rsid w:val="00FE6599"/>
    <w:rsid w:val="352B3E8D"/>
    <w:rsid w:val="74B89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A3317"/>
  <w15:chartTrackingRefBased/>
  <w15:docId w15:val="{7737C4EB-3893-4BD3-856A-95CCC9983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hAnsiTheme="majorHAnsi" w:eastAsiaTheme="majorEastAsia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hAnsiTheme="majorHAnsi" w:eastAsiaTheme="majorEastAsia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hAnsiTheme="majorHAnsi" w:eastAsiaTheme="majorEastAsia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hAnsiTheme="majorHAnsi" w:eastAsiaTheme="majorEastAsia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hAnsiTheme="majorHAnsi" w:eastAsiaTheme="majorEastAsia" w:cstheme="majorBidi"/>
      <w:i/>
      <w:iCs/>
      <w:color w:val="272727" w:themeColor="text1" w:themeTint="D8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6D3D74"/>
    <w:rPr>
      <w:rFonts w:asciiTheme="majorHAnsi" w:hAnsiTheme="majorHAnsi" w:eastAsiaTheme="majorEastAsia" w:cstheme="majorBidi"/>
      <w:color w:val="1F4E79" w:themeColor="accent1" w:themeShade="80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6D3D74"/>
    <w:rPr>
      <w:rFonts w:asciiTheme="majorHAnsi" w:hAnsiTheme="majorHAnsi" w:eastAsiaTheme="majorEastAsia" w:cstheme="majorBidi"/>
      <w:color w:val="1F4E79" w:themeColor="accent1" w:themeShade="80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rsid w:val="006D3D74"/>
    <w:rPr>
      <w:rFonts w:asciiTheme="majorHAnsi" w:hAnsiTheme="majorHAnsi" w:eastAsiaTheme="majorEastAsia" w:cstheme="majorBidi"/>
      <w:i/>
      <w:iCs/>
      <w:color w:val="1F4E79" w:themeColor="accent1" w:themeShade="80"/>
    </w:rPr>
  </w:style>
  <w:style w:type="character" w:styleId="Heading5Char" w:customStyle="1">
    <w:name w:val="Heading 5 Char"/>
    <w:basedOn w:val="DefaultParagraphFont"/>
    <w:link w:val="Heading5"/>
    <w:uiPriority w:val="9"/>
    <w:rsid w:val="006D3D74"/>
    <w:rPr>
      <w:rFonts w:asciiTheme="majorHAnsi" w:hAnsiTheme="majorHAnsi" w:eastAsiaTheme="majorEastAsia" w:cstheme="majorBidi"/>
      <w:color w:val="1F4E79" w:themeColor="accent1" w:themeShade="80"/>
    </w:rPr>
  </w:style>
  <w:style w:type="character" w:styleId="Heading6Char" w:customStyle="1">
    <w:name w:val="Heading 6 Char"/>
    <w:basedOn w:val="DefaultParagraphFont"/>
    <w:link w:val="Heading6"/>
    <w:uiPriority w:val="9"/>
    <w:rPr>
      <w:rFonts w:asciiTheme="majorHAnsi" w:hAnsiTheme="majorHAnsi" w:eastAsiaTheme="majorEastAsia" w:cstheme="majorBidi"/>
      <w:color w:val="1F4D78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rPr>
      <w:rFonts w:asciiTheme="majorHAnsi" w:hAnsiTheme="majorHAnsi" w:eastAsiaTheme="majorEastAsia" w:cstheme="majorBidi"/>
      <w:i/>
      <w:iCs/>
      <w:color w:val="1F4D78" w:themeColor="accent1" w:themeShade="7F"/>
    </w:rPr>
  </w:style>
  <w:style w:type="character" w:styleId="Heading8Char" w:customStyle="1">
    <w:name w:val="Heading 8 Char"/>
    <w:basedOn w:val="DefaultParagraphFont"/>
    <w:link w:val="Heading8"/>
    <w:uiPriority w:val="9"/>
    <w:rsid w:val="00645252"/>
    <w:rPr>
      <w:rFonts w:asciiTheme="majorHAnsi" w:hAnsiTheme="majorHAnsi" w:eastAsiaTheme="majorEastAsia" w:cstheme="majorBidi"/>
      <w:color w:val="272727" w:themeColor="text1" w:themeTint="D8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rsid w:val="00645252"/>
    <w:rPr>
      <w:rFonts w:asciiTheme="majorHAnsi" w:hAnsiTheme="majorHAnsi" w:eastAsiaTheme="majorEastAsia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color="1F4E79" w:themeColor="accent1" w:themeShade="80" w:sz="4" w:space="10"/>
        <w:bottom w:val="single" w:color="1F4E79" w:themeColor="accent1" w:themeShade="80" w:sz="4" w:space="1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color="5B9BD5" w:themeColor="accent1" w:sz="2" w:space="10" w:shadow="1" w:frame="1"/>
        <w:left w:val="single" w:color="5B9BD5" w:themeColor="accent1" w:sz="2" w:space="10" w:shadow="1" w:frame="1"/>
        <w:bottom w:val="single" w:color="5B9BD5" w:themeColor="accent1" w:sz="2" w:space="10" w:shadow="1" w:frame="1"/>
        <w:right w:val="single" w:color="5B9BD5" w:themeColor="accent1" w:sz="2" w:space="10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hAnsiTheme="majorHAnsi" w:eastAsiaTheme="majorEastAsia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</w:style>
  <w:style w:type="character" w:styleId="HeaderChar" w:customStyle="1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</w:style>
  <w:style w:type="character" w:styleId="FooterChar" w:customStyle="1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aliases w:val="Equipment,List Paragraph1,List Paragraph Char Char,numbered,List Paragraph11,List Paragraph 1"/>
    <w:basedOn w:val="Normal"/>
    <w:link w:val="ListParagraphChar"/>
    <w:uiPriority w:val="34"/>
    <w:unhideWhenUsed/>
    <w:qFormat/>
    <w:rsid w:val="00B57B0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57B06"/>
    <w:rPr>
      <w:color w:val="605E5C"/>
      <w:shd w:val="clear" w:color="auto" w:fill="E1DFDD"/>
    </w:rPr>
  </w:style>
  <w:style w:type="character" w:styleId="ListParagraphChar" w:customStyle="1">
    <w:name w:val="List Paragraph Char"/>
    <w:aliases w:val="Equipment Char,List Paragraph1 Char,List Paragraph Char Char Char,numbered Char,List Paragraph11 Char,List Paragraph 1 Char"/>
    <w:link w:val="ListParagraph"/>
    <w:uiPriority w:val="34"/>
    <w:locked/>
    <w:rsid w:val="00E6624B"/>
  </w:style>
  <w:style w:type="paragraph" w:styleId="Revision">
    <w:name w:val="Revision"/>
    <w:hidden/>
    <w:uiPriority w:val="99"/>
    <w:semiHidden/>
    <w:rsid w:val="00C34FD9"/>
  </w:style>
  <w:style w:type="character" w:styleId="normaltextrun" w:customStyle="1">
    <w:name w:val="normaltextrun"/>
    <w:basedOn w:val="DefaultParagraphFont"/>
    <w:rsid w:val="008379D8"/>
  </w:style>
  <w:style w:type="character" w:styleId="eop" w:customStyle="1">
    <w:name w:val="eop"/>
    <w:basedOn w:val="DefaultParagraphFont"/>
    <w:rsid w:val="008379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yperlink" Target="https://www.oa.pa.gov/Policies/Documents/itp_acc001.pdf" TargetMode="Externa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https://www.oa.pa.gov/Policies/Documents/itp_acc001.pdf" TargetMode="Externa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www.oa.pa.gov/Policies/eo/Documents/2023-08.pdf" TargetMode="External" Id="rId11" /><Relationship Type="http://schemas.openxmlformats.org/officeDocument/2006/relationships/styles" Target="styles.xml" Id="rId5" /><Relationship Type="http://schemas.openxmlformats.org/officeDocument/2006/relationships/hyperlink" Target="https://www.itic.org/policy/accessibility/vpat" TargetMode="External" Id="rId15" /><Relationship Type="http://schemas.openxmlformats.org/officeDocument/2006/relationships/hyperlink" Target="https://www.oa.pa.gov/Policies/eo/Documents/2016_03.pdf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yperlink" Target="https://www.itic.org/policy/accessibility/vpat" TargetMode="Externa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strom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0" ma:contentTypeDescription="Create a new document." ma:contentTypeScope="" ma:versionID="686fd0339536b3da415024b0fc41457a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6e68daa9b20717795d84780774a56fa2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4ACC51D3-9A48-435A-9CE2-274F49D715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E1D3A7-E2F3-4BDB-92B0-751501F8FE45}"/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6d66b2e4-7ec3-46e4-a728-1f7c975d0fd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Single spaced (blank)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Accessibility Requirement for Servers</dc:title>
  <dc:subject/>
  <dc:creator>Strom, Ellen</dc:creator>
  <cp:keywords/>
  <dc:description/>
  <cp:lastModifiedBy>Walker, Katrin</cp:lastModifiedBy>
  <cp:revision>4</cp:revision>
  <dcterms:created xsi:type="dcterms:W3CDTF">2024-10-18T19:31:00Z</dcterms:created>
  <dcterms:modified xsi:type="dcterms:W3CDTF">2024-10-21T11:59:38Z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0x01010046030A9C59F2004A9C3E882E221113CB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