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04197" w14:textId="73800DBB" w:rsidR="00A24CCE" w:rsidRDefault="003A73B9" w:rsidP="003A73B9">
      <w:pPr>
        <w:pStyle w:val="Heading1"/>
        <w:widowControl w:val="0"/>
        <w:tabs>
          <w:tab w:val="left" w:pos="839"/>
        </w:tabs>
        <w:rPr>
          <w:rFonts w:ascii="Times New Roman" w:eastAsia="Times New Roman" w:hAnsi="Times New Roman" w:cs="Times New Roman"/>
          <w:b/>
          <w:bCs/>
          <w:color w:val="002060"/>
          <w:sz w:val="36"/>
          <w:szCs w:val="36"/>
        </w:rPr>
      </w:pPr>
      <w:r w:rsidRPr="002305F9">
        <w:rPr>
          <w:rFonts w:ascii="Times New Roman" w:eastAsia="Times New Roman" w:hAnsi="Times New Roman" w:cs="Times New Roman"/>
          <w:b/>
          <w:bCs/>
          <w:color w:val="002060"/>
          <w:sz w:val="36"/>
          <w:szCs w:val="36"/>
        </w:rPr>
        <w:br/>
      </w:r>
      <w:r w:rsidR="1CCA69E4" w:rsidRPr="002305F9">
        <w:rPr>
          <w:rFonts w:ascii="Times New Roman" w:eastAsia="Times New Roman" w:hAnsi="Times New Roman" w:cs="Times New Roman"/>
          <w:b/>
          <w:bCs/>
          <w:color w:val="002060"/>
          <w:sz w:val="36"/>
          <w:szCs w:val="36"/>
        </w:rPr>
        <w:t xml:space="preserve">APPENDIX </w:t>
      </w:r>
      <w:r w:rsidR="0069310B">
        <w:rPr>
          <w:rFonts w:ascii="Times New Roman" w:eastAsia="Times New Roman" w:hAnsi="Times New Roman" w:cs="Times New Roman"/>
          <w:b/>
          <w:bCs/>
          <w:color w:val="002060"/>
          <w:sz w:val="36"/>
          <w:szCs w:val="36"/>
        </w:rPr>
        <w:t>N</w:t>
      </w:r>
      <w:r w:rsidR="1CCA69E4" w:rsidRPr="002305F9">
        <w:rPr>
          <w:rFonts w:ascii="Times New Roman" w:eastAsia="Times New Roman" w:hAnsi="Times New Roman" w:cs="Times New Roman"/>
          <w:b/>
          <w:bCs/>
          <w:color w:val="002060"/>
          <w:sz w:val="36"/>
          <w:szCs w:val="36"/>
        </w:rPr>
        <w:t xml:space="preserve">: </w:t>
      </w:r>
      <w:r w:rsidR="00933BC5">
        <w:rPr>
          <w:rFonts w:ascii="Times New Roman" w:eastAsia="Times New Roman" w:hAnsi="Times New Roman" w:cs="Times New Roman"/>
          <w:b/>
          <w:bCs/>
          <w:color w:val="002060"/>
          <w:sz w:val="36"/>
          <w:szCs w:val="36"/>
        </w:rPr>
        <w:t>ACA Program Requirements</w:t>
      </w:r>
    </w:p>
    <w:p w14:paraId="314F9880" w14:textId="0B19DB57" w:rsidR="0E292FA8" w:rsidRPr="00A24CCE" w:rsidRDefault="0E292FA8" w:rsidP="003A73B9">
      <w:pPr>
        <w:pStyle w:val="Heading1"/>
        <w:widowControl w:val="0"/>
        <w:tabs>
          <w:tab w:val="left" w:pos="839"/>
        </w:tabs>
        <w:rPr>
          <w:rFonts w:ascii="Times New Roman" w:eastAsia="Times New Roman" w:hAnsi="Times New Roman" w:cs="Times New Roman"/>
          <w:b/>
          <w:bCs/>
          <w:color w:val="002060"/>
          <w:sz w:val="36"/>
          <w:szCs w:val="36"/>
        </w:rPr>
      </w:pPr>
      <w:r w:rsidRPr="00A24CCE">
        <w:rPr>
          <w:rFonts w:ascii="Times New Roman" w:eastAsia="Times New Roman" w:hAnsi="Times New Roman" w:cs="Times New Roman"/>
          <w:b/>
          <w:bCs/>
          <w:color w:val="002060"/>
          <w:sz w:val="36"/>
          <w:szCs w:val="36"/>
        </w:rPr>
        <w:t xml:space="preserve">Federal Regulatory or </w:t>
      </w:r>
      <w:r w:rsidR="298FC48F" w:rsidRPr="00A24CCE">
        <w:rPr>
          <w:rFonts w:ascii="Times New Roman" w:eastAsia="Times New Roman" w:hAnsi="Times New Roman" w:cs="Times New Roman"/>
          <w:b/>
          <w:bCs/>
          <w:color w:val="002060"/>
          <w:sz w:val="36"/>
          <w:szCs w:val="36"/>
        </w:rPr>
        <w:t>Pennie</w:t>
      </w:r>
      <w:r w:rsidRPr="00A24CCE">
        <w:rPr>
          <w:rFonts w:ascii="Times New Roman" w:eastAsia="Times New Roman" w:hAnsi="Times New Roman" w:cs="Times New Roman"/>
          <w:b/>
          <w:bCs/>
          <w:color w:val="002060"/>
          <w:sz w:val="36"/>
          <w:szCs w:val="36"/>
        </w:rPr>
        <w:t xml:space="preserve"> Technical Requirements.</w:t>
      </w:r>
    </w:p>
    <w:p w14:paraId="48DE3204" w14:textId="4C4F8AF3" w:rsidR="29B81E88" w:rsidRPr="00080541" w:rsidRDefault="29B81E88" w:rsidP="00080541">
      <w:pPr>
        <w:widowControl w:val="0"/>
        <w:tabs>
          <w:tab w:val="left" w:pos="839"/>
        </w:tabs>
        <w:rPr>
          <w:rFonts w:ascii="Times New Roman" w:eastAsia="Times New Roman" w:hAnsi="Times New Roman" w:cs="Times New Roman"/>
          <w:b/>
          <w:bCs/>
          <w:color w:val="002060"/>
          <w:sz w:val="6"/>
          <w:szCs w:val="6"/>
        </w:rPr>
      </w:pPr>
    </w:p>
    <w:p w14:paraId="003A3F42" w14:textId="0C3F282C" w:rsidR="002E4FEA" w:rsidRPr="002305F9" w:rsidRDefault="002E4FEA" w:rsidP="002E4FEA">
      <w:pPr>
        <w:pStyle w:val="ListParagraph"/>
        <w:widowControl w:val="0"/>
        <w:numPr>
          <w:ilvl w:val="0"/>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 xml:space="preserve">The federal requirements for the assister program </w:t>
      </w:r>
      <w:r w:rsidR="00933CF7" w:rsidRPr="002305F9">
        <w:rPr>
          <w:rFonts w:ascii="Times New Roman" w:eastAsia="Times New Roman" w:hAnsi="Times New Roman" w:cs="Times New Roman"/>
          <w:color w:val="002060"/>
          <w:sz w:val="24"/>
          <w:szCs w:val="24"/>
        </w:rPr>
        <w:t xml:space="preserve">are set </w:t>
      </w:r>
      <w:r w:rsidR="75336511" w:rsidRPr="002305F9">
        <w:rPr>
          <w:rFonts w:ascii="Times New Roman" w:eastAsia="Times New Roman" w:hAnsi="Times New Roman" w:cs="Times New Roman"/>
          <w:color w:val="002060"/>
          <w:sz w:val="24"/>
          <w:szCs w:val="24"/>
        </w:rPr>
        <w:t>forth in</w:t>
      </w:r>
      <w:r w:rsidRPr="002305F9">
        <w:rPr>
          <w:rFonts w:ascii="Times New Roman" w:eastAsia="Times New Roman" w:hAnsi="Times New Roman" w:cs="Times New Roman"/>
          <w:color w:val="002060"/>
          <w:sz w:val="24"/>
          <w:szCs w:val="24"/>
        </w:rPr>
        <w:t xml:space="preserve"> section 1331 of the </w:t>
      </w:r>
      <w:r w:rsidR="00AF0BDE" w:rsidRPr="002305F9">
        <w:rPr>
          <w:rFonts w:ascii="Times New Roman" w:eastAsia="Times New Roman" w:hAnsi="Times New Roman" w:cs="Times New Roman"/>
          <w:color w:val="002060"/>
          <w:sz w:val="24"/>
          <w:szCs w:val="24"/>
        </w:rPr>
        <w:t>Affordable Care Act</w:t>
      </w:r>
      <w:r w:rsidR="00DF2091" w:rsidRPr="002305F9">
        <w:rPr>
          <w:rFonts w:ascii="Times New Roman" w:eastAsia="Times New Roman" w:hAnsi="Times New Roman" w:cs="Times New Roman"/>
          <w:color w:val="002060"/>
          <w:sz w:val="24"/>
          <w:szCs w:val="24"/>
        </w:rPr>
        <w:t xml:space="preserve"> (“ACA”)</w:t>
      </w:r>
      <w:r w:rsidRPr="002305F9">
        <w:rPr>
          <w:rFonts w:ascii="Times New Roman" w:eastAsia="Times New Roman" w:hAnsi="Times New Roman" w:cs="Times New Roman"/>
          <w:color w:val="002060"/>
          <w:sz w:val="24"/>
          <w:szCs w:val="24"/>
        </w:rPr>
        <w:t>, 42 U.S.C. § 18031(i), and the implementing regulations at 45 C.F.R. §§155.205-155.215. The Lead Contractor will be expected to adhere to these and any other applicable federal or state requirements for the assister program.</w:t>
      </w:r>
    </w:p>
    <w:p w14:paraId="261B03E2" w14:textId="0614936A" w:rsidR="00AD2A7E" w:rsidRPr="002305F9" w:rsidRDefault="00491808" w:rsidP="00AD2A7E">
      <w:pPr>
        <w:pStyle w:val="ListParagraph"/>
        <w:widowControl w:val="0"/>
        <w:numPr>
          <w:ilvl w:val="0"/>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Pennsylvania’s</w:t>
      </w:r>
      <w:r w:rsidR="00C43F1C" w:rsidRPr="002305F9">
        <w:rPr>
          <w:rFonts w:ascii="Times New Roman" w:eastAsia="Times New Roman" w:hAnsi="Times New Roman" w:cs="Times New Roman"/>
          <w:color w:val="002060"/>
          <w:sz w:val="24"/>
          <w:szCs w:val="24"/>
        </w:rPr>
        <w:t xml:space="preserve"> requirements for</w:t>
      </w:r>
      <w:r w:rsidR="00F008A7" w:rsidRPr="002305F9">
        <w:rPr>
          <w:rFonts w:ascii="Times New Roman" w:eastAsia="Times New Roman" w:hAnsi="Times New Roman" w:cs="Times New Roman"/>
          <w:color w:val="002060"/>
          <w:sz w:val="24"/>
          <w:szCs w:val="24"/>
        </w:rPr>
        <w:t xml:space="preserve"> Navigators and Assisters </w:t>
      </w:r>
      <w:r w:rsidR="00854EDD" w:rsidRPr="002305F9">
        <w:rPr>
          <w:rFonts w:ascii="Times New Roman" w:eastAsia="Times New Roman" w:hAnsi="Times New Roman" w:cs="Times New Roman"/>
          <w:color w:val="002060"/>
          <w:sz w:val="24"/>
          <w:szCs w:val="24"/>
        </w:rPr>
        <w:t>are set forth in the Navigator and Exchange Assister Accessibility and Regulation Act (40 P.S. §§ 4401 – 4406).</w:t>
      </w:r>
    </w:p>
    <w:p w14:paraId="5504A6A4" w14:textId="146EDC6C" w:rsidR="00AD2A7E" w:rsidRPr="002305F9" w:rsidRDefault="00AD2A7E" w:rsidP="00AD2A7E">
      <w:pPr>
        <w:pStyle w:val="ListParagraph"/>
        <w:widowControl w:val="0"/>
        <w:numPr>
          <w:ilvl w:val="0"/>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 xml:space="preserve">The ACA requires Pennie to select an entity </w:t>
      </w:r>
      <w:r w:rsidR="00541C21" w:rsidRPr="002305F9">
        <w:rPr>
          <w:rFonts w:ascii="Times New Roman" w:eastAsia="Times New Roman" w:hAnsi="Times New Roman" w:cs="Times New Roman"/>
          <w:color w:val="002060"/>
          <w:sz w:val="24"/>
          <w:szCs w:val="24"/>
        </w:rPr>
        <w:t>that demonstra</w:t>
      </w:r>
      <w:r w:rsidR="001C02B4" w:rsidRPr="002305F9">
        <w:rPr>
          <w:rFonts w:ascii="Times New Roman" w:eastAsia="Times New Roman" w:hAnsi="Times New Roman" w:cs="Times New Roman"/>
          <w:color w:val="002060"/>
          <w:sz w:val="24"/>
          <w:szCs w:val="24"/>
        </w:rPr>
        <w:t xml:space="preserve">tes that it </w:t>
      </w:r>
      <w:r w:rsidR="00CF4B70" w:rsidRPr="002305F9">
        <w:rPr>
          <w:rFonts w:ascii="Times New Roman" w:eastAsia="Times New Roman" w:hAnsi="Times New Roman" w:cs="Times New Roman"/>
          <w:color w:val="002060"/>
          <w:sz w:val="24"/>
          <w:szCs w:val="24"/>
        </w:rPr>
        <w:t xml:space="preserve">has existing </w:t>
      </w:r>
      <w:r w:rsidR="005C20E7" w:rsidRPr="002305F9">
        <w:rPr>
          <w:rFonts w:ascii="Times New Roman" w:eastAsia="Times New Roman" w:hAnsi="Times New Roman" w:cs="Times New Roman"/>
          <w:color w:val="002060"/>
          <w:sz w:val="24"/>
          <w:szCs w:val="24"/>
        </w:rPr>
        <w:t xml:space="preserve">relationships, or could readily establish relationships, with employers and employees, consumers (including </w:t>
      </w:r>
      <w:r w:rsidR="00214BED" w:rsidRPr="002305F9">
        <w:rPr>
          <w:rFonts w:ascii="Times New Roman" w:eastAsia="Times New Roman" w:hAnsi="Times New Roman" w:cs="Times New Roman"/>
          <w:color w:val="002060"/>
          <w:sz w:val="24"/>
          <w:szCs w:val="24"/>
        </w:rPr>
        <w:t xml:space="preserve">uninsured and underinsured consumers), or self-employed individuals likely to be qualified to enroll in a qualified health plan.  </w:t>
      </w:r>
      <w:r w:rsidR="00214BED" w:rsidRPr="002305F9">
        <w:rPr>
          <w:rFonts w:ascii="Times New Roman" w:eastAsia="Times New Roman" w:hAnsi="Times New Roman" w:cs="Times New Roman"/>
          <w:i/>
          <w:iCs/>
          <w:color w:val="002060"/>
          <w:sz w:val="24"/>
          <w:szCs w:val="24"/>
        </w:rPr>
        <w:t>See</w:t>
      </w:r>
      <w:r w:rsidR="00214BED" w:rsidRPr="002305F9">
        <w:rPr>
          <w:rFonts w:ascii="Times New Roman" w:eastAsia="Times New Roman" w:hAnsi="Times New Roman" w:cs="Times New Roman"/>
          <w:color w:val="002060"/>
          <w:sz w:val="24"/>
          <w:szCs w:val="24"/>
        </w:rPr>
        <w:t xml:space="preserve"> </w:t>
      </w:r>
      <w:r w:rsidR="00DF7F44" w:rsidRPr="002305F9">
        <w:rPr>
          <w:rFonts w:ascii="Times New Roman" w:eastAsia="Times New Roman" w:hAnsi="Times New Roman" w:cs="Times New Roman"/>
          <w:color w:val="002060"/>
          <w:sz w:val="24"/>
          <w:szCs w:val="24"/>
        </w:rPr>
        <w:t xml:space="preserve">42 U.S.C. § 1803(i)(2)(A). </w:t>
      </w:r>
    </w:p>
    <w:p w14:paraId="20331596" w14:textId="37972538" w:rsidR="0E292FA8" w:rsidRPr="002305F9" w:rsidRDefault="0E292FA8" w:rsidP="00267BF0">
      <w:pPr>
        <w:pStyle w:val="ListParagraph"/>
        <w:widowControl w:val="0"/>
        <w:numPr>
          <w:ilvl w:val="0"/>
          <w:numId w:val="1"/>
        </w:numPr>
        <w:tabs>
          <w:tab w:val="left" w:pos="839"/>
        </w:tabs>
        <w:rPr>
          <w:rFonts w:ascii="Times New Roman" w:eastAsia="Times New Roman" w:hAnsi="Times New Roman" w:cs="Times New Roman"/>
          <w:b/>
          <w:bCs/>
          <w:color w:val="002060"/>
          <w:sz w:val="24"/>
          <w:szCs w:val="24"/>
        </w:rPr>
      </w:pPr>
      <w:r w:rsidRPr="002305F9">
        <w:rPr>
          <w:rStyle w:val="normaltextrun"/>
          <w:rFonts w:ascii="Times New Roman" w:eastAsia="Times New Roman" w:hAnsi="Times New Roman" w:cs="Times New Roman"/>
          <w:color w:val="002060"/>
          <w:sz w:val="24"/>
          <w:szCs w:val="24"/>
        </w:rPr>
        <w:t xml:space="preserve">The </w:t>
      </w:r>
      <w:r w:rsidR="00DF2091" w:rsidRPr="002305F9">
        <w:rPr>
          <w:rStyle w:val="normaltextrun"/>
          <w:rFonts w:ascii="Times New Roman" w:eastAsia="Times New Roman" w:hAnsi="Times New Roman" w:cs="Times New Roman"/>
          <w:color w:val="002060"/>
          <w:sz w:val="24"/>
          <w:szCs w:val="24"/>
        </w:rPr>
        <w:t xml:space="preserve">ACA </w:t>
      </w:r>
      <w:r w:rsidRPr="002305F9">
        <w:rPr>
          <w:rStyle w:val="normaltextrun"/>
          <w:rFonts w:ascii="Times New Roman" w:eastAsia="Times New Roman" w:hAnsi="Times New Roman" w:cs="Times New Roman"/>
          <w:color w:val="002060"/>
          <w:sz w:val="24"/>
          <w:szCs w:val="24"/>
        </w:rPr>
        <w:t xml:space="preserve">requires </w:t>
      </w:r>
      <w:r w:rsidR="1D9AED0D" w:rsidRPr="002305F9">
        <w:rPr>
          <w:rStyle w:val="normaltextrun"/>
          <w:rFonts w:ascii="Times New Roman" w:eastAsia="Times New Roman" w:hAnsi="Times New Roman" w:cs="Times New Roman"/>
          <w:color w:val="002060"/>
          <w:sz w:val="24"/>
          <w:szCs w:val="24"/>
        </w:rPr>
        <w:t>Pennie</w:t>
      </w:r>
      <w:r w:rsidRPr="002305F9">
        <w:rPr>
          <w:rStyle w:val="normaltextrun"/>
          <w:rFonts w:ascii="Times New Roman" w:eastAsia="Times New Roman" w:hAnsi="Times New Roman" w:cs="Times New Roman"/>
          <w:color w:val="002060"/>
          <w:sz w:val="24"/>
          <w:szCs w:val="24"/>
        </w:rPr>
        <w:t xml:space="preserve"> to select an entity to operate an assister program which carries out the following duties</w:t>
      </w:r>
      <w:r w:rsidR="00DF7F44" w:rsidRPr="002305F9">
        <w:rPr>
          <w:rStyle w:val="normaltextrun"/>
          <w:rFonts w:ascii="Times New Roman" w:eastAsia="Times New Roman" w:hAnsi="Times New Roman" w:cs="Times New Roman"/>
          <w:color w:val="002060"/>
          <w:sz w:val="24"/>
          <w:szCs w:val="24"/>
        </w:rPr>
        <w:t xml:space="preserve"> (</w:t>
      </w:r>
      <w:r w:rsidR="00DF7F44" w:rsidRPr="002305F9">
        <w:rPr>
          <w:rFonts w:ascii="Times New Roman" w:eastAsia="Times New Roman" w:hAnsi="Times New Roman" w:cs="Times New Roman"/>
          <w:i/>
          <w:iCs/>
          <w:color w:val="002060"/>
          <w:sz w:val="24"/>
          <w:szCs w:val="24"/>
        </w:rPr>
        <w:t>See</w:t>
      </w:r>
      <w:r w:rsidR="00DF7F44" w:rsidRPr="002305F9">
        <w:rPr>
          <w:rFonts w:ascii="Times New Roman" w:eastAsia="Times New Roman" w:hAnsi="Times New Roman" w:cs="Times New Roman"/>
          <w:color w:val="002060"/>
          <w:sz w:val="24"/>
          <w:szCs w:val="24"/>
        </w:rPr>
        <w:t xml:space="preserve"> 42 U.S.C. § 1803(i)(3).</w:t>
      </w:r>
      <w:r w:rsidRPr="002305F9">
        <w:rPr>
          <w:rStyle w:val="normaltextrun"/>
          <w:rFonts w:ascii="Times New Roman" w:eastAsia="Times New Roman" w:hAnsi="Times New Roman" w:cs="Times New Roman"/>
          <w:color w:val="002060"/>
          <w:sz w:val="24"/>
          <w:szCs w:val="24"/>
        </w:rPr>
        <w:t>: </w:t>
      </w:r>
    </w:p>
    <w:p w14:paraId="78CA9828" w14:textId="0F8F0636"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Style w:val="normaltextrun"/>
          <w:rFonts w:ascii="Times New Roman" w:eastAsia="Times New Roman" w:hAnsi="Times New Roman" w:cs="Times New Roman"/>
          <w:color w:val="002060"/>
          <w:sz w:val="24"/>
          <w:szCs w:val="24"/>
        </w:rPr>
        <w:t>Maintain expertise in eligibility, enrollment, and program specifications and conduct public education activities to raise awareness about Pennie</w:t>
      </w:r>
      <w:r w:rsidR="00C92D2E" w:rsidRPr="002305F9">
        <w:rPr>
          <w:rStyle w:val="normaltextrun"/>
          <w:rFonts w:ascii="Times New Roman" w:eastAsia="Times New Roman" w:hAnsi="Times New Roman" w:cs="Times New Roman"/>
          <w:color w:val="002060"/>
          <w:sz w:val="24"/>
          <w:szCs w:val="24"/>
        </w:rPr>
        <w:t xml:space="preserve"> and qualified health plans</w:t>
      </w:r>
      <w:r w:rsidRPr="002305F9">
        <w:rPr>
          <w:rStyle w:val="normaltextrun"/>
          <w:rFonts w:ascii="Times New Roman" w:eastAsia="Times New Roman" w:hAnsi="Times New Roman" w:cs="Times New Roman"/>
          <w:color w:val="002060"/>
          <w:sz w:val="24"/>
          <w:szCs w:val="24"/>
        </w:rPr>
        <w:t>;</w:t>
      </w:r>
    </w:p>
    <w:p w14:paraId="3A83BB59" w14:textId="5D3EDAD9" w:rsidR="00C55E6D" w:rsidRPr="002305F9" w:rsidRDefault="00C55E6D" w:rsidP="00267BF0">
      <w:pPr>
        <w:pStyle w:val="ListParagraph"/>
        <w:widowControl w:val="0"/>
        <w:numPr>
          <w:ilvl w:val="1"/>
          <w:numId w:val="1"/>
        </w:numPr>
        <w:tabs>
          <w:tab w:val="left" w:pos="839"/>
        </w:tabs>
        <w:rPr>
          <w:rStyle w:val="normaltextrun"/>
          <w:rFonts w:ascii="Times New Roman" w:eastAsia="Times New Roman" w:hAnsi="Times New Roman" w:cs="Times New Roman"/>
          <w:b/>
          <w:bCs/>
          <w:color w:val="002060"/>
          <w:sz w:val="24"/>
          <w:szCs w:val="24"/>
        </w:rPr>
      </w:pPr>
      <w:r w:rsidRPr="002305F9">
        <w:rPr>
          <w:rStyle w:val="normaltextrun"/>
          <w:rFonts w:ascii="Times New Roman" w:eastAsia="Times New Roman" w:hAnsi="Times New Roman" w:cs="Times New Roman"/>
          <w:color w:val="002060"/>
          <w:sz w:val="24"/>
          <w:szCs w:val="24"/>
        </w:rPr>
        <w:t xml:space="preserve">Distribute fair and impartial information concerning enrollment in qualified health plans, and the availability of premium tax credits and cost-sharing reductions. </w:t>
      </w:r>
    </w:p>
    <w:p w14:paraId="2B9D804D" w14:textId="3B22A0E8"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Style w:val="normaltextrun"/>
          <w:rFonts w:ascii="Times New Roman" w:eastAsia="Times New Roman" w:hAnsi="Times New Roman" w:cs="Times New Roman"/>
          <w:color w:val="002060"/>
          <w:sz w:val="24"/>
          <w:szCs w:val="24"/>
        </w:rPr>
        <w:t xml:space="preserve">Provide information and services in a fair, accurate, and impartial manner, which </w:t>
      </w:r>
      <w:proofErr w:type="gramStart"/>
      <w:r w:rsidRPr="002305F9">
        <w:rPr>
          <w:rStyle w:val="normaltextrun"/>
          <w:rFonts w:ascii="Times New Roman" w:eastAsia="Times New Roman" w:hAnsi="Times New Roman" w:cs="Times New Roman"/>
          <w:color w:val="002060"/>
          <w:sz w:val="24"/>
          <w:szCs w:val="24"/>
        </w:rPr>
        <w:t>includes:</w:t>
      </w:r>
      <w:proofErr w:type="gramEnd"/>
      <w:r w:rsidRPr="002305F9">
        <w:rPr>
          <w:rStyle w:val="normaltextrun"/>
          <w:rFonts w:ascii="Times New Roman" w:eastAsia="Times New Roman" w:hAnsi="Times New Roman" w:cs="Times New Roman"/>
          <w:color w:val="002060"/>
          <w:sz w:val="24"/>
          <w:szCs w:val="24"/>
        </w:rPr>
        <w:t xml:space="preserve">  providing information that assists consumers with submitting the eligibility application; clarifying the distinctions among health coverage options, including </w:t>
      </w:r>
      <w:r w:rsidR="5BBBE8BF" w:rsidRPr="002305F9">
        <w:rPr>
          <w:rStyle w:val="normaltextrun"/>
          <w:rFonts w:ascii="Times New Roman" w:eastAsia="Times New Roman" w:hAnsi="Times New Roman" w:cs="Times New Roman"/>
          <w:color w:val="002060"/>
          <w:sz w:val="24"/>
          <w:szCs w:val="24"/>
        </w:rPr>
        <w:t>qualified health plans on Pennie</w:t>
      </w:r>
      <w:r w:rsidRPr="002305F9">
        <w:rPr>
          <w:rStyle w:val="normaltextrun"/>
          <w:rFonts w:ascii="Times New Roman" w:eastAsia="Times New Roman" w:hAnsi="Times New Roman" w:cs="Times New Roman"/>
          <w:color w:val="002060"/>
          <w:sz w:val="24"/>
          <w:szCs w:val="24"/>
        </w:rPr>
        <w:t>, Medical Assistance, and CHIP; and helping consumers make informed decisions during the health coverage selection process. Such information must acknowledge other health programs; </w:t>
      </w:r>
    </w:p>
    <w:p w14:paraId="2722ACDE" w14:textId="69E5E3FD"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Style w:val="normaltextrun"/>
          <w:rFonts w:ascii="Times New Roman" w:eastAsia="Times New Roman" w:hAnsi="Times New Roman" w:cs="Times New Roman"/>
          <w:color w:val="002060"/>
          <w:sz w:val="24"/>
          <w:szCs w:val="24"/>
        </w:rPr>
        <w:t xml:space="preserve">Facilitate </w:t>
      </w:r>
      <w:r w:rsidR="002D1ECE" w:rsidRPr="002305F9">
        <w:rPr>
          <w:rStyle w:val="normaltextrun"/>
          <w:rFonts w:ascii="Times New Roman" w:eastAsia="Times New Roman" w:hAnsi="Times New Roman" w:cs="Times New Roman"/>
          <w:color w:val="002060"/>
          <w:sz w:val="24"/>
          <w:szCs w:val="24"/>
        </w:rPr>
        <w:t>enrollment in</w:t>
      </w:r>
      <w:r w:rsidRPr="002305F9">
        <w:rPr>
          <w:rStyle w:val="normaltextrun"/>
          <w:rFonts w:ascii="Times New Roman" w:eastAsia="Times New Roman" w:hAnsi="Times New Roman" w:cs="Times New Roman"/>
          <w:color w:val="002060"/>
          <w:sz w:val="24"/>
          <w:szCs w:val="24"/>
        </w:rPr>
        <w:t xml:space="preserve"> a </w:t>
      </w:r>
      <w:r w:rsidR="2422C7A8" w:rsidRPr="002305F9">
        <w:rPr>
          <w:rStyle w:val="normaltextrun"/>
          <w:rFonts w:ascii="Times New Roman" w:eastAsia="Times New Roman" w:hAnsi="Times New Roman" w:cs="Times New Roman"/>
          <w:color w:val="002060"/>
          <w:sz w:val="24"/>
          <w:szCs w:val="24"/>
        </w:rPr>
        <w:t>qualified health plan through Pennie</w:t>
      </w:r>
      <w:r w:rsidRPr="002305F9">
        <w:rPr>
          <w:rStyle w:val="normaltextrun"/>
          <w:rFonts w:ascii="Times New Roman" w:eastAsia="Times New Roman" w:hAnsi="Times New Roman" w:cs="Times New Roman"/>
          <w:color w:val="002060"/>
          <w:sz w:val="24"/>
          <w:szCs w:val="24"/>
        </w:rPr>
        <w:t>; </w:t>
      </w:r>
    </w:p>
    <w:p w14:paraId="726AE121" w14:textId="15C51297"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Style w:val="normaltextrun"/>
          <w:rFonts w:ascii="Times New Roman" w:eastAsia="Times New Roman" w:hAnsi="Times New Roman" w:cs="Times New Roman"/>
          <w:color w:val="002060"/>
          <w:sz w:val="24"/>
          <w:szCs w:val="24"/>
        </w:rPr>
        <w:t>Provide referrals to any applicable office of health insurance consumer assistance or health insurance ombudsman established under section 2793 of the Public Health Service Act, or any other appropriate State agency or agencies, for any enrollee with a grievance, complaint, or question regarding their health plan, coverage, or a determination under such plan or coverage; </w:t>
      </w:r>
    </w:p>
    <w:p w14:paraId="0226539D" w14:textId="3B8E3B68"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Style w:val="normaltextrun"/>
          <w:rFonts w:ascii="Times New Roman" w:eastAsia="Times New Roman" w:hAnsi="Times New Roman" w:cs="Times New Roman"/>
          <w:color w:val="002060"/>
          <w:sz w:val="24"/>
          <w:szCs w:val="24"/>
        </w:rPr>
        <w:t>Provide information in a manner that is culturally and linguistically appropriate to the needs of the population being served by Pennie, including individuals with limited English proficiency, and ensure accessibility and usability of Assister tools and functions for individuals with disabilities in accordance with the Americans with Disabilities Act and section 504 of the Rehabilitation Act; </w:t>
      </w:r>
    </w:p>
    <w:p w14:paraId="62A84AD8" w14:textId="31E1ABFC"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Style w:val="normaltextrun"/>
          <w:rFonts w:ascii="Times New Roman" w:eastAsia="Times New Roman" w:hAnsi="Times New Roman" w:cs="Times New Roman"/>
          <w:color w:val="002060"/>
          <w:sz w:val="24"/>
          <w:szCs w:val="24"/>
        </w:rPr>
        <w:lastRenderedPageBreak/>
        <w:t>Ensure that applicants: </w:t>
      </w:r>
    </w:p>
    <w:p w14:paraId="6B358E31" w14:textId="74CC2F6C" w:rsidR="0E292FA8" w:rsidRPr="002305F9" w:rsidRDefault="0E292FA8" w:rsidP="00267BF0">
      <w:pPr>
        <w:pStyle w:val="ListParagraph"/>
        <w:widowControl w:val="0"/>
        <w:numPr>
          <w:ilvl w:val="2"/>
          <w:numId w:val="1"/>
        </w:numPr>
        <w:tabs>
          <w:tab w:val="left" w:pos="839"/>
        </w:tabs>
        <w:rPr>
          <w:rFonts w:ascii="Times New Roman" w:eastAsia="Times New Roman" w:hAnsi="Times New Roman" w:cs="Times New Roman"/>
          <w:b/>
          <w:bCs/>
          <w:color w:val="002060"/>
          <w:sz w:val="24"/>
          <w:szCs w:val="24"/>
        </w:rPr>
      </w:pPr>
      <w:r w:rsidRPr="002305F9">
        <w:rPr>
          <w:rStyle w:val="normaltextrun"/>
          <w:rFonts w:ascii="Times New Roman" w:eastAsia="Times New Roman" w:hAnsi="Times New Roman" w:cs="Times New Roman"/>
          <w:color w:val="002060"/>
          <w:sz w:val="24"/>
          <w:szCs w:val="24"/>
        </w:rPr>
        <w:t>Are informed, prior to receiving assistance, of the functions and responsibilities of a Pennie-certified assister, including that assisters are not acting as tax advisers or attorneys when providing assistance as a Pennie-certified assister and cannot provide tax or legal advice within their capacity as an Assister;</w:t>
      </w:r>
    </w:p>
    <w:p w14:paraId="0F59E29F" w14:textId="702F4122" w:rsidR="0E292FA8" w:rsidRPr="002305F9" w:rsidRDefault="0E292FA8" w:rsidP="00267BF0">
      <w:pPr>
        <w:pStyle w:val="ListParagraph"/>
        <w:widowControl w:val="0"/>
        <w:numPr>
          <w:ilvl w:val="2"/>
          <w:numId w:val="1"/>
        </w:numPr>
        <w:tabs>
          <w:tab w:val="left" w:pos="839"/>
        </w:tabs>
        <w:rPr>
          <w:rFonts w:ascii="Times New Roman" w:eastAsia="Times New Roman" w:hAnsi="Times New Roman" w:cs="Times New Roman"/>
          <w:b/>
          <w:bCs/>
          <w:color w:val="002060"/>
          <w:sz w:val="24"/>
          <w:szCs w:val="24"/>
        </w:rPr>
      </w:pPr>
      <w:r w:rsidRPr="002305F9">
        <w:rPr>
          <w:rStyle w:val="normaltextrun"/>
          <w:rFonts w:ascii="Times New Roman" w:eastAsia="Times New Roman" w:hAnsi="Times New Roman" w:cs="Times New Roman"/>
          <w:color w:val="002060"/>
          <w:sz w:val="24"/>
          <w:szCs w:val="24"/>
        </w:rPr>
        <w:t>Provide authorization in a form and manner as determined by Pennie prior to an Assister’s obtaining access to an applicant's personally identifiable information, and that the Assister maintains a record of the authorization provided in a form and manner as determined by Pennie;</w:t>
      </w:r>
    </w:p>
    <w:p w14:paraId="14B581C2" w14:textId="583F93FB" w:rsidR="0E292FA8" w:rsidRPr="002305F9" w:rsidRDefault="0E292FA8" w:rsidP="00267BF0">
      <w:pPr>
        <w:pStyle w:val="ListParagraph"/>
        <w:widowControl w:val="0"/>
        <w:numPr>
          <w:ilvl w:val="2"/>
          <w:numId w:val="1"/>
        </w:numPr>
        <w:tabs>
          <w:tab w:val="left" w:pos="839"/>
        </w:tabs>
        <w:rPr>
          <w:rFonts w:ascii="Times New Roman" w:eastAsia="Times New Roman" w:hAnsi="Times New Roman" w:cs="Times New Roman"/>
          <w:b/>
          <w:bCs/>
          <w:color w:val="002060"/>
          <w:sz w:val="24"/>
          <w:szCs w:val="24"/>
        </w:rPr>
      </w:pPr>
      <w:r w:rsidRPr="002305F9">
        <w:rPr>
          <w:rStyle w:val="normaltextrun"/>
          <w:rFonts w:ascii="Times New Roman" w:eastAsia="Times New Roman" w:hAnsi="Times New Roman" w:cs="Times New Roman"/>
          <w:color w:val="002060"/>
          <w:sz w:val="24"/>
          <w:szCs w:val="24"/>
        </w:rPr>
        <w:t>Provide targeted assistance to underserved or vulnerable populations, as identified by Pennie, within the state of Pennsylvania</w:t>
      </w:r>
    </w:p>
    <w:p w14:paraId="02D7C1BC" w14:textId="1282FE0A" w:rsidR="0E292FA8" w:rsidRPr="002305F9" w:rsidRDefault="0E292FA8" w:rsidP="00267BF0">
      <w:pPr>
        <w:pStyle w:val="ListParagraph"/>
        <w:widowControl w:val="0"/>
        <w:numPr>
          <w:ilvl w:val="0"/>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 xml:space="preserve">The ACA also allows licensed insurance agents and brokers (referred to “producers” in Pennsylvania law, see 40 P.S. §§ 310.1 </w:t>
      </w:r>
      <w:r w:rsidRPr="002305F9">
        <w:rPr>
          <w:rFonts w:ascii="Times New Roman" w:eastAsia="Times New Roman" w:hAnsi="Times New Roman" w:cs="Times New Roman"/>
          <w:i/>
          <w:iCs/>
          <w:color w:val="002060"/>
          <w:sz w:val="24"/>
          <w:szCs w:val="24"/>
        </w:rPr>
        <w:t>et seq.</w:t>
      </w:r>
      <w:r w:rsidRPr="002305F9">
        <w:rPr>
          <w:rFonts w:ascii="Times New Roman" w:eastAsia="Times New Roman" w:hAnsi="Times New Roman" w:cs="Times New Roman"/>
          <w:color w:val="002060"/>
          <w:sz w:val="24"/>
          <w:szCs w:val="24"/>
        </w:rPr>
        <w:t xml:space="preserve">) to be assisters. </w:t>
      </w:r>
      <w:r w:rsidRPr="002305F9">
        <w:rPr>
          <w:rFonts w:ascii="Times New Roman" w:eastAsia="Times New Roman" w:hAnsi="Times New Roman" w:cs="Times New Roman"/>
          <w:i/>
          <w:iCs/>
          <w:color w:val="002060"/>
          <w:sz w:val="24"/>
          <w:szCs w:val="24"/>
        </w:rPr>
        <w:t>See</w:t>
      </w:r>
      <w:r w:rsidRPr="002305F9">
        <w:rPr>
          <w:rFonts w:ascii="Times New Roman" w:eastAsia="Times New Roman" w:hAnsi="Times New Roman" w:cs="Times New Roman"/>
          <w:color w:val="002060"/>
          <w:sz w:val="24"/>
          <w:szCs w:val="24"/>
        </w:rPr>
        <w:t xml:space="preserve"> 42 U.S.C. § 18031(i)(2)(8). However, assisters may not “receive any consideration directly or indirectly from any health insurance issuer in connection with the enrollment of any qualified individuals or employees of a qualified employer in a qualified health plan.” 42 U.S.C. §1803l(i)(4)(A)(ii). Therefore, if a producer chooses to be an assister, the producer may no longer be paid by insurers in connection with qualified health plan enrollment activities done pursuant to this RFP.</w:t>
      </w:r>
    </w:p>
    <w:p w14:paraId="652BCA7E" w14:textId="40CA13C9" w:rsidR="0E292FA8" w:rsidRPr="002305F9" w:rsidRDefault="0E292FA8" w:rsidP="00267BF0">
      <w:pPr>
        <w:pStyle w:val="ListParagraph"/>
        <w:widowControl w:val="0"/>
        <w:numPr>
          <w:ilvl w:val="0"/>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Assisters in the exchange will complement the services traditionally provided by licensed producers by facilitating the enrollment of non-traditional populations that typically do not purchase health insurance. These groups include people who are in underserved and vulnerable populations, including but not limited to those eligible for publicly funded health care (i.e., CHIP and Medical Assistance (</w:t>
      </w:r>
      <w:r w:rsidRPr="002305F9">
        <w:rPr>
          <w:rFonts w:ascii="Times New Roman" w:eastAsia="Times New Roman" w:hAnsi="Times New Roman" w:cs="Times New Roman"/>
          <w:i/>
          <w:iCs/>
          <w:color w:val="002060"/>
          <w:sz w:val="24"/>
          <w:szCs w:val="24"/>
        </w:rPr>
        <w:t xml:space="preserve">see </w:t>
      </w:r>
      <w:r w:rsidRPr="002305F9">
        <w:rPr>
          <w:rFonts w:ascii="Times New Roman" w:eastAsia="Times New Roman" w:hAnsi="Times New Roman" w:cs="Times New Roman"/>
          <w:color w:val="002060"/>
          <w:sz w:val="24"/>
          <w:szCs w:val="24"/>
        </w:rPr>
        <w:t xml:space="preserve">45 C.F.R. § 155.210(e)(8); </w:t>
      </w:r>
      <w:r w:rsidRPr="002305F9">
        <w:rPr>
          <w:rFonts w:ascii="Times New Roman" w:eastAsia="Times New Roman" w:hAnsi="Times New Roman" w:cs="Times New Roman"/>
          <w:i/>
          <w:iCs/>
          <w:color w:val="002060"/>
          <w:sz w:val="24"/>
          <w:szCs w:val="24"/>
        </w:rPr>
        <w:t xml:space="preserve">see </w:t>
      </w:r>
      <w:r w:rsidRPr="002305F9">
        <w:rPr>
          <w:rFonts w:ascii="Times New Roman" w:eastAsia="Times New Roman" w:hAnsi="Times New Roman" w:cs="Times New Roman"/>
          <w:color w:val="002060"/>
          <w:sz w:val="24"/>
          <w:szCs w:val="24"/>
        </w:rPr>
        <w:t>also 40 P.S. § 4404(b)), those individuals who do not have the means or ability to travel to a producer, those disproportionately without access to coverage, and those that are at a greater risk for poor health outcomes. Assister entities will serve an important role in educating and enrolling individuals and groups that typically will not enroll unless encouraged to do so.</w:t>
      </w:r>
    </w:p>
    <w:p w14:paraId="79C28460" w14:textId="1A09F1E6" w:rsidR="0E292FA8" w:rsidRPr="002305F9" w:rsidRDefault="0E292FA8" w:rsidP="00267BF0">
      <w:pPr>
        <w:pStyle w:val="ListParagraph"/>
        <w:widowControl w:val="0"/>
        <w:numPr>
          <w:ilvl w:val="0"/>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To comply with federal requirements, the following entities are eligible to be a Lead Organization or Partner Organization pursuant to this procurement (</w:t>
      </w:r>
      <w:r w:rsidRPr="002305F9">
        <w:rPr>
          <w:rFonts w:ascii="Times New Roman" w:eastAsia="Times New Roman" w:hAnsi="Times New Roman" w:cs="Times New Roman"/>
          <w:i/>
          <w:iCs/>
          <w:color w:val="002060"/>
          <w:sz w:val="24"/>
          <w:szCs w:val="24"/>
        </w:rPr>
        <w:t xml:space="preserve">see </w:t>
      </w:r>
      <w:r w:rsidRPr="002305F9">
        <w:rPr>
          <w:rFonts w:ascii="Times New Roman" w:eastAsia="Times New Roman" w:hAnsi="Times New Roman" w:cs="Times New Roman"/>
          <w:color w:val="002060"/>
          <w:sz w:val="24"/>
          <w:szCs w:val="24"/>
        </w:rPr>
        <w:t xml:space="preserve">42 U.S.C. §18031(i)(2)(B); 45 C.F.R. § 155.210(c)). The </w:t>
      </w:r>
      <w:r w:rsidR="224034AD" w:rsidRPr="002305F9">
        <w:rPr>
          <w:rFonts w:ascii="Times New Roman" w:eastAsia="Times New Roman" w:hAnsi="Times New Roman" w:cs="Times New Roman"/>
          <w:color w:val="002060"/>
          <w:sz w:val="24"/>
          <w:szCs w:val="24"/>
        </w:rPr>
        <w:t xml:space="preserve">Lead Organization </w:t>
      </w:r>
      <w:r w:rsidRPr="002305F9">
        <w:rPr>
          <w:rFonts w:ascii="Times New Roman" w:eastAsia="Times New Roman" w:hAnsi="Times New Roman" w:cs="Times New Roman"/>
          <w:color w:val="002060"/>
          <w:sz w:val="24"/>
          <w:szCs w:val="24"/>
        </w:rPr>
        <w:t>must ensure that all lead organizations are eligible and comply with all federal and state laws:</w:t>
      </w:r>
    </w:p>
    <w:p w14:paraId="42BF63C5" w14:textId="11789226"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Community and consumer-focused nonprofit groups;</w:t>
      </w:r>
    </w:p>
    <w:p w14:paraId="7F177136" w14:textId="3813128D"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Health organization</w:t>
      </w:r>
    </w:p>
    <w:p w14:paraId="37D8BBE5" w14:textId="1DB1E380"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Federal Quality Health Center</w:t>
      </w:r>
    </w:p>
    <w:p w14:paraId="7AE0A409" w14:textId="61514571"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Legal Aid Office</w:t>
      </w:r>
    </w:p>
    <w:p w14:paraId="5AA5C7B1" w14:textId="66DC01B6"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Immigrant-serving organizations</w:t>
      </w:r>
    </w:p>
    <w:p w14:paraId="264783D3" w14:textId="39F2EA6F"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 xml:space="preserve">Low income-serving organizations </w:t>
      </w:r>
    </w:p>
    <w:p w14:paraId="177A7F9E" w14:textId="6F6C177B"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Food banks</w:t>
      </w:r>
    </w:p>
    <w:p w14:paraId="043DCB57" w14:textId="1E68BC93"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Housing authorities</w:t>
      </w:r>
    </w:p>
    <w:p w14:paraId="2360055C" w14:textId="4243F32F"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 xml:space="preserve">Local legislative offices </w:t>
      </w:r>
    </w:p>
    <w:p w14:paraId="4F91DE4E" w14:textId="66B3BBB9"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lastRenderedPageBreak/>
        <w:t>Community health and resource departments</w:t>
      </w:r>
    </w:p>
    <w:p w14:paraId="458A0C35" w14:textId="5BE05300"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Hospitals and Health Systems</w:t>
      </w:r>
    </w:p>
    <w:p w14:paraId="00CA324F" w14:textId="3BACFFA5"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DEI Offices, community engagement teams, revenue cycle departments</w:t>
      </w:r>
    </w:p>
    <w:p w14:paraId="2EEF1064" w14:textId="48776214"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County Human Service and Health Departments</w:t>
      </w:r>
    </w:p>
    <w:p w14:paraId="5FDE4BD6" w14:textId="6AA4C38D"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Local Small Business Development Centers</w:t>
      </w:r>
    </w:p>
    <w:p w14:paraId="2A59B1D4" w14:textId="27D4DF16"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Libraries</w:t>
      </w:r>
    </w:p>
    <w:p w14:paraId="7F468B97" w14:textId="48AB9A00"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PA CareerLinks</w:t>
      </w:r>
    </w:p>
    <w:p w14:paraId="514F907B" w14:textId="6CEC197A"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PA Medi &amp; Area agencies on Aging</w:t>
      </w:r>
    </w:p>
    <w:p w14:paraId="72E0E9EB" w14:textId="15080BC9"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Education centers</w:t>
      </w:r>
    </w:p>
    <w:p w14:paraId="4EC5E0F6" w14:textId="776D552F"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Community Colleges &amp; Universities</w:t>
      </w:r>
    </w:p>
    <w:p w14:paraId="0EE14763" w14:textId="46C2BA98"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Trade, industry and professional associations</w:t>
      </w:r>
    </w:p>
    <w:p w14:paraId="1D5D330F" w14:textId="6C5BB80D"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Commercial industry organizations</w:t>
      </w:r>
    </w:p>
    <w:p w14:paraId="4A37EBBF" w14:textId="752560E7"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Ranching and farming organizations</w:t>
      </w:r>
    </w:p>
    <w:p w14:paraId="457E54EF" w14:textId="6393CAE3"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Chambers of commerce</w:t>
      </w:r>
    </w:p>
    <w:p w14:paraId="56F15F5E" w14:textId="39F20BD7"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color w:val="002060"/>
          <w:sz w:val="24"/>
          <w:szCs w:val="24"/>
        </w:rPr>
      </w:pPr>
      <w:r w:rsidRPr="002305F9">
        <w:rPr>
          <w:rFonts w:ascii="Times New Roman" w:eastAsia="Times New Roman" w:hAnsi="Times New Roman" w:cs="Times New Roman"/>
          <w:color w:val="002060"/>
          <w:sz w:val="24"/>
          <w:szCs w:val="24"/>
        </w:rPr>
        <w:t>Unions</w:t>
      </w:r>
    </w:p>
    <w:p w14:paraId="6D525DE6" w14:textId="56607A37"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Other public or private entities or individuals that may include but are not limited to Native American tribes, tribal organizations, urban Native American organizations, and Commonwealth or local human service agencies</w:t>
      </w:r>
    </w:p>
    <w:p w14:paraId="28C10476" w14:textId="77777777" w:rsidR="000D7847" w:rsidRPr="002305F9" w:rsidRDefault="00C81BA8" w:rsidP="000D7847">
      <w:pPr>
        <w:pStyle w:val="ListParagraph"/>
        <w:widowControl w:val="0"/>
        <w:numPr>
          <w:ilvl w:val="0"/>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 xml:space="preserve">A Navigator or </w:t>
      </w:r>
      <w:r w:rsidR="00CE4712" w:rsidRPr="002305F9">
        <w:rPr>
          <w:rFonts w:ascii="Times New Roman" w:eastAsia="Times New Roman" w:hAnsi="Times New Roman" w:cs="Times New Roman"/>
          <w:color w:val="002060"/>
          <w:sz w:val="24"/>
          <w:szCs w:val="24"/>
        </w:rPr>
        <w:t>Assister</w:t>
      </w:r>
      <w:r w:rsidR="00414D4A" w:rsidRPr="002305F9">
        <w:rPr>
          <w:rFonts w:ascii="Times New Roman" w:eastAsia="Times New Roman" w:hAnsi="Times New Roman" w:cs="Times New Roman"/>
          <w:color w:val="002060"/>
          <w:sz w:val="24"/>
          <w:szCs w:val="24"/>
        </w:rPr>
        <w:t xml:space="preserve"> cannot engage </w:t>
      </w:r>
      <w:r w:rsidR="0016220D" w:rsidRPr="002305F9">
        <w:rPr>
          <w:rFonts w:ascii="Times New Roman" w:eastAsia="Times New Roman" w:hAnsi="Times New Roman" w:cs="Times New Roman"/>
          <w:color w:val="002060"/>
          <w:sz w:val="24"/>
          <w:szCs w:val="24"/>
        </w:rPr>
        <w:t>in an activity for which licensure as a producer is required</w:t>
      </w:r>
      <w:r w:rsidR="00AF2E1D" w:rsidRPr="002305F9">
        <w:rPr>
          <w:rFonts w:ascii="Times New Roman" w:eastAsia="Times New Roman" w:hAnsi="Times New Roman" w:cs="Times New Roman"/>
          <w:color w:val="002060"/>
          <w:sz w:val="24"/>
          <w:szCs w:val="24"/>
        </w:rPr>
        <w:t>, including any of the following (</w:t>
      </w:r>
      <w:r w:rsidR="00AF2E1D" w:rsidRPr="002305F9">
        <w:rPr>
          <w:rFonts w:ascii="Times New Roman" w:eastAsia="Times New Roman" w:hAnsi="Times New Roman" w:cs="Times New Roman"/>
          <w:i/>
          <w:iCs/>
          <w:color w:val="002060"/>
          <w:sz w:val="24"/>
          <w:szCs w:val="24"/>
        </w:rPr>
        <w:t>see</w:t>
      </w:r>
      <w:r w:rsidR="00AF2E1D" w:rsidRPr="002305F9">
        <w:rPr>
          <w:rFonts w:ascii="Times New Roman" w:eastAsia="Times New Roman" w:hAnsi="Times New Roman" w:cs="Times New Roman"/>
          <w:color w:val="002060"/>
          <w:sz w:val="24"/>
          <w:szCs w:val="24"/>
        </w:rPr>
        <w:t xml:space="preserve"> </w:t>
      </w:r>
      <w:r w:rsidR="008723AE" w:rsidRPr="002305F9">
        <w:rPr>
          <w:rFonts w:ascii="Times New Roman" w:eastAsia="Times New Roman" w:hAnsi="Times New Roman" w:cs="Times New Roman"/>
          <w:color w:val="002060"/>
          <w:sz w:val="24"/>
          <w:szCs w:val="24"/>
        </w:rPr>
        <w:t>40 P.S. § 4404(c)):</w:t>
      </w:r>
    </w:p>
    <w:p w14:paraId="04073B7B" w14:textId="4CC61E86" w:rsidR="000D7847" w:rsidRPr="002305F9" w:rsidRDefault="000D7847" w:rsidP="000D7847">
      <w:pPr>
        <w:pStyle w:val="ListParagraph"/>
        <w:widowControl w:val="0"/>
        <w:numPr>
          <w:ilvl w:val="1"/>
          <w:numId w:val="1"/>
        </w:numPr>
        <w:tabs>
          <w:tab w:val="left" w:pos="839"/>
        </w:tabs>
        <w:rPr>
          <w:rFonts w:ascii="Source Sans Pro" w:eastAsia="Times New Roman" w:hAnsi="Source Sans Pro" w:cs="Times New Roman"/>
          <w:color w:val="002060"/>
          <w:sz w:val="25"/>
          <w:szCs w:val="25"/>
        </w:rPr>
      </w:pPr>
      <w:r w:rsidRPr="002305F9">
        <w:rPr>
          <w:rFonts w:ascii="Times New Roman" w:eastAsia="Times New Roman" w:hAnsi="Times New Roman" w:cs="Times New Roman"/>
          <w:color w:val="002060"/>
          <w:sz w:val="24"/>
          <w:szCs w:val="24"/>
        </w:rPr>
        <w:t>Sell, solicit or negotiate insurance.</w:t>
      </w:r>
    </w:p>
    <w:p w14:paraId="75DAF66F" w14:textId="77777777" w:rsidR="00AF654C" w:rsidRPr="002305F9" w:rsidRDefault="000D7847" w:rsidP="00AF654C">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Urge or advise a prospective purchaser to buy a particular policy or to insure with a particular company.</w:t>
      </w:r>
    </w:p>
    <w:p w14:paraId="098626D8" w14:textId="77777777" w:rsidR="00AF654C" w:rsidRPr="002305F9" w:rsidRDefault="00AF654C" w:rsidP="00AF654C">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I</w:t>
      </w:r>
      <w:r w:rsidR="000D7847" w:rsidRPr="002305F9">
        <w:rPr>
          <w:rFonts w:ascii="Times New Roman" w:eastAsia="Times New Roman" w:hAnsi="Times New Roman" w:cs="Times New Roman"/>
          <w:color w:val="002060"/>
          <w:sz w:val="24"/>
          <w:szCs w:val="24"/>
        </w:rPr>
        <w:t>nitiate sales over the telephone or otherwise.</w:t>
      </w:r>
    </w:p>
    <w:p w14:paraId="5B00115A" w14:textId="77777777" w:rsidR="00AF654C" w:rsidRPr="002305F9" w:rsidRDefault="000D7847" w:rsidP="00AF654C">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Collect premiums.</w:t>
      </w:r>
    </w:p>
    <w:p w14:paraId="56FC5E6B" w14:textId="77777777" w:rsidR="00AF654C" w:rsidRPr="002305F9" w:rsidRDefault="000D7847" w:rsidP="00AF654C">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Make or propose to make an insurance contract.</w:t>
      </w:r>
    </w:p>
    <w:p w14:paraId="708C5722" w14:textId="77777777" w:rsidR="00AF654C" w:rsidRPr="002305F9" w:rsidRDefault="000D7847" w:rsidP="00AF654C">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Recommend or initiate additions or deletions to an insured's policy.</w:t>
      </w:r>
    </w:p>
    <w:p w14:paraId="51EA750E" w14:textId="79A59D28" w:rsidR="008723AE" w:rsidRPr="002305F9" w:rsidRDefault="000D7847" w:rsidP="00AF654C">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Issue or deliver certificates of insurance, endorsements, binders or insurance policies on insurance identification cards.</w:t>
      </w:r>
    </w:p>
    <w:p w14:paraId="59E246CC" w14:textId="32AC3086" w:rsidR="0E292FA8" w:rsidRPr="002305F9" w:rsidRDefault="0E292FA8" w:rsidP="00267BF0">
      <w:pPr>
        <w:pStyle w:val="ListParagraph"/>
        <w:widowControl w:val="0"/>
        <w:numPr>
          <w:ilvl w:val="0"/>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b/>
          <w:bCs/>
          <w:color w:val="002060"/>
          <w:sz w:val="24"/>
          <w:szCs w:val="24"/>
        </w:rPr>
        <w:t>The following entities are disqualified from providing services as an assister pursuant to federal requirements (</w:t>
      </w:r>
      <w:r w:rsidRPr="002305F9">
        <w:rPr>
          <w:rFonts w:ascii="Times New Roman" w:eastAsia="Times New Roman" w:hAnsi="Times New Roman" w:cs="Times New Roman"/>
          <w:b/>
          <w:bCs/>
          <w:i/>
          <w:iCs/>
          <w:color w:val="002060"/>
          <w:sz w:val="24"/>
          <w:szCs w:val="24"/>
        </w:rPr>
        <w:t xml:space="preserve">see </w:t>
      </w:r>
      <w:r w:rsidRPr="002305F9">
        <w:rPr>
          <w:rFonts w:ascii="Times New Roman" w:eastAsia="Times New Roman" w:hAnsi="Times New Roman" w:cs="Times New Roman"/>
          <w:b/>
          <w:bCs/>
          <w:color w:val="002060"/>
          <w:sz w:val="24"/>
          <w:szCs w:val="24"/>
        </w:rPr>
        <w:t>45 C.F.R. § 155.210(d)):</w:t>
      </w:r>
    </w:p>
    <w:p w14:paraId="78B0787B" w14:textId="2AF6E033"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A health insurance issuer or issuer of stop loss insurance</w:t>
      </w:r>
    </w:p>
    <w:p w14:paraId="0ADF816F" w14:textId="21E7786F"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A subsidiary (including a provider organization) of a health insurance issuer or issuer of stop loss insurance</w:t>
      </w:r>
    </w:p>
    <w:p w14:paraId="02EB2FFF" w14:textId="54E54831"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An association that includes members of, or lobbies on behalf of, the insurance industry</w:t>
      </w:r>
    </w:p>
    <w:p w14:paraId="62029B7A" w14:textId="77777777" w:rsidR="00774EC7" w:rsidRPr="002305F9" w:rsidRDefault="0E292FA8" w:rsidP="00774EC7">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An entity or individual that receives any consideration directly or indirectly from any health insurance issuer or issuer of stop loss insurance in connection with the enrollment of any individuals or employees in a QHP or a non-QHP.</w:t>
      </w:r>
    </w:p>
    <w:p w14:paraId="4854DA03" w14:textId="7A47AA45" w:rsidR="0E292FA8" w:rsidRPr="002305F9" w:rsidRDefault="62B458AB" w:rsidP="00267BF0">
      <w:pPr>
        <w:pStyle w:val="ListParagraph"/>
        <w:widowControl w:val="0"/>
        <w:numPr>
          <w:ilvl w:val="0"/>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b/>
          <w:bCs/>
          <w:color w:val="002060"/>
          <w:sz w:val="24"/>
          <w:szCs w:val="24"/>
        </w:rPr>
        <w:t>Lead Contractor</w:t>
      </w:r>
      <w:r w:rsidR="0E292FA8" w:rsidRPr="002305F9">
        <w:rPr>
          <w:rFonts w:ascii="Times New Roman" w:eastAsia="Times New Roman" w:hAnsi="Times New Roman" w:cs="Times New Roman"/>
          <w:b/>
          <w:bCs/>
          <w:color w:val="002060"/>
          <w:sz w:val="24"/>
          <w:szCs w:val="24"/>
        </w:rPr>
        <w:t xml:space="preserve"> must affirm that it and its subcontractors or partners will not:</w:t>
      </w:r>
    </w:p>
    <w:p w14:paraId="4840AD19" w14:textId="6789E61A"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Charge any applicant or enrollee, or request or receive any form of remuneration from or on behalf of an individual applicant or enrollee, for application or other assistance related to assister duties.</w:t>
      </w:r>
    </w:p>
    <w:p w14:paraId="38615955" w14:textId="084A0C13"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lastRenderedPageBreak/>
        <w:t>Provide to an applicant or potential enrollee gifts of any value as an inducement for enrollment. The value of gifts provided to applicants and potential enrollees for purposes other than as an inducement for enrollment must not exceed nominal value, either individually or in the aggregate, when provided to that individual during a single encounter. For purposes of this restriction, the term gifts include gift items, gift cards, cash cards, cash, and promotional items that market or promote the products or services of a third party, but does not include the reimbursement of legitimate expenses incurred by a consumer in an effort to receive Exchange application assistance, such as travel or postage expenses.</w:t>
      </w:r>
    </w:p>
    <w:p w14:paraId="246F9577" w14:textId="004C106F"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Use exchange funds to purchase gifts or gift cards, or promotional items that market or promote the products or services of a third party, that would be provided to any applicant or potential enrollee.</w:t>
      </w:r>
    </w:p>
    <w:p w14:paraId="5560F50C" w14:textId="6DBE70D0"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Solicit any consumer for application or enrollment assistance by going door-to-door or through other unsolicited means of direct contact, including calling a customer to provide application or enrollment assistance without the customer initiating the contact, unless the individual has a pre-existing relationship with the individual assister or assister entity and other applicable State and Federal laws are otherwise complied with.</w:t>
      </w:r>
    </w:p>
    <w:p w14:paraId="5C3C36F4" w14:textId="6E79C60B" w:rsidR="0E292FA8" w:rsidRPr="002305F9" w:rsidRDefault="37F70477" w:rsidP="00267BF0">
      <w:pPr>
        <w:pStyle w:val="ListParagraph"/>
        <w:widowControl w:val="0"/>
        <w:numPr>
          <w:ilvl w:val="0"/>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b/>
          <w:bCs/>
          <w:color w:val="002060"/>
          <w:sz w:val="24"/>
          <w:szCs w:val="24"/>
        </w:rPr>
        <w:t>Contractor</w:t>
      </w:r>
      <w:r w:rsidR="0E292FA8" w:rsidRPr="002305F9">
        <w:rPr>
          <w:rFonts w:ascii="Times New Roman" w:eastAsia="Times New Roman" w:hAnsi="Times New Roman" w:cs="Times New Roman"/>
          <w:b/>
          <w:bCs/>
          <w:color w:val="002060"/>
          <w:sz w:val="24"/>
          <w:szCs w:val="24"/>
        </w:rPr>
        <w:t xml:space="preserve"> must</w:t>
      </w:r>
      <w:r w:rsidR="12F67E4A" w:rsidRPr="002305F9">
        <w:rPr>
          <w:rFonts w:ascii="Times New Roman" w:eastAsia="Times New Roman" w:hAnsi="Times New Roman" w:cs="Times New Roman"/>
          <w:b/>
          <w:bCs/>
          <w:color w:val="002060"/>
          <w:sz w:val="24"/>
          <w:szCs w:val="24"/>
        </w:rPr>
        <w:t xml:space="preserve"> also:</w:t>
      </w:r>
    </w:p>
    <w:p w14:paraId="59CD11A9" w14:textId="18754695"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 xml:space="preserve">Certify that the </w:t>
      </w:r>
      <w:r w:rsidR="6571BEA6" w:rsidRPr="002305F9">
        <w:rPr>
          <w:rFonts w:ascii="Times New Roman" w:eastAsia="Times New Roman" w:hAnsi="Times New Roman" w:cs="Times New Roman"/>
          <w:color w:val="002060"/>
          <w:sz w:val="24"/>
          <w:szCs w:val="24"/>
        </w:rPr>
        <w:t>Lead Contractor</w:t>
      </w:r>
      <w:r w:rsidRPr="002305F9">
        <w:rPr>
          <w:rFonts w:ascii="Times New Roman" w:eastAsia="Times New Roman" w:hAnsi="Times New Roman" w:cs="Times New Roman"/>
          <w:color w:val="002060"/>
          <w:sz w:val="24"/>
          <w:szCs w:val="24"/>
        </w:rPr>
        <w:t xml:space="preserve"> has or will have, prior to the commencement of assister operations, a va1id registration under Pennsylvania law as an assister or assister entity, or employees or associated volunteers with valid registrations under Pennsylvania law as assisters (</w:t>
      </w:r>
      <w:r w:rsidRPr="002305F9">
        <w:rPr>
          <w:rFonts w:ascii="Times New Roman" w:eastAsia="Times New Roman" w:hAnsi="Times New Roman" w:cs="Times New Roman"/>
          <w:i/>
          <w:iCs/>
          <w:color w:val="002060"/>
          <w:sz w:val="24"/>
          <w:szCs w:val="24"/>
        </w:rPr>
        <w:t xml:space="preserve">see </w:t>
      </w:r>
      <w:r w:rsidRPr="002305F9">
        <w:rPr>
          <w:rFonts w:ascii="Times New Roman" w:eastAsia="Times New Roman" w:hAnsi="Times New Roman" w:cs="Times New Roman"/>
          <w:color w:val="002060"/>
          <w:sz w:val="24"/>
          <w:szCs w:val="24"/>
        </w:rPr>
        <w:t>40 P.S. § 4403).</w:t>
      </w:r>
    </w:p>
    <w:p w14:paraId="239133A8" w14:textId="72797640"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 xml:space="preserve">Certify that the </w:t>
      </w:r>
      <w:r w:rsidR="266B574B" w:rsidRPr="002305F9">
        <w:rPr>
          <w:rFonts w:ascii="Times New Roman" w:eastAsia="Times New Roman" w:hAnsi="Times New Roman" w:cs="Times New Roman"/>
          <w:color w:val="002060"/>
          <w:sz w:val="24"/>
          <w:szCs w:val="24"/>
        </w:rPr>
        <w:t>Lead Contractor</w:t>
      </w:r>
      <w:r w:rsidRPr="002305F9">
        <w:rPr>
          <w:rFonts w:ascii="Times New Roman" w:eastAsia="Times New Roman" w:hAnsi="Times New Roman" w:cs="Times New Roman"/>
          <w:color w:val="002060"/>
          <w:sz w:val="24"/>
          <w:szCs w:val="24"/>
        </w:rPr>
        <w:t>, its staff, and any of its subcontractors will comply with Pennsylvania law regulating an assister's scope of activity (</w:t>
      </w:r>
      <w:r w:rsidRPr="002305F9">
        <w:rPr>
          <w:rFonts w:ascii="Times New Roman" w:eastAsia="Times New Roman" w:hAnsi="Times New Roman" w:cs="Times New Roman"/>
          <w:i/>
          <w:iCs/>
          <w:color w:val="002060"/>
          <w:sz w:val="24"/>
          <w:szCs w:val="24"/>
        </w:rPr>
        <w:t xml:space="preserve">see </w:t>
      </w:r>
      <w:r w:rsidRPr="002305F9">
        <w:rPr>
          <w:rFonts w:ascii="Times New Roman" w:eastAsia="Times New Roman" w:hAnsi="Times New Roman" w:cs="Times New Roman"/>
          <w:color w:val="002060"/>
          <w:sz w:val="24"/>
          <w:szCs w:val="24"/>
        </w:rPr>
        <w:t>40 P.S. § 4404).</w:t>
      </w:r>
    </w:p>
    <w:p w14:paraId="1D48A655" w14:textId="198C2EC1"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b/>
          <w:bCs/>
          <w:color w:val="002060"/>
          <w:sz w:val="24"/>
          <w:szCs w:val="24"/>
        </w:rPr>
      </w:pPr>
      <w:r w:rsidRPr="002305F9">
        <w:rPr>
          <w:rFonts w:ascii="Times New Roman" w:eastAsia="Times New Roman" w:hAnsi="Times New Roman" w:cs="Times New Roman"/>
          <w:color w:val="002060"/>
          <w:sz w:val="24"/>
          <w:szCs w:val="24"/>
        </w:rPr>
        <w:t xml:space="preserve">Certify that the </w:t>
      </w:r>
      <w:r w:rsidR="051E59F4" w:rsidRPr="002305F9">
        <w:rPr>
          <w:rFonts w:ascii="Times New Roman" w:eastAsia="Times New Roman" w:hAnsi="Times New Roman" w:cs="Times New Roman"/>
          <w:color w:val="002060"/>
          <w:sz w:val="24"/>
          <w:szCs w:val="24"/>
        </w:rPr>
        <w:t>Lead Contractor</w:t>
      </w:r>
      <w:r w:rsidRPr="002305F9">
        <w:rPr>
          <w:rFonts w:ascii="Times New Roman" w:eastAsia="Times New Roman" w:hAnsi="Times New Roman" w:cs="Times New Roman"/>
          <w:color w:val="002060"/>
          <w:sz w:val="24"/>
          <w:szCs w:val="24"/>
        </w:rPr>
        <w:t>, its staff, and any of its subcontractors will comply with state and federal regulations related to an assister’s or navigator’s scope of activity.</w:t>
      </w:r>
    </w:p>
    <w:p w14:paraId="31C36030" w14:textId="77A14275"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color w:val="002060"/>
          <w:sz w:val="24"/>
          <w:szCs w:val="24"/>
        </w:rPr>
      </w:pPr>
      <w:r w:rsidRPr="002305F9">
        <w:rPr>
          <w:rFonts w:ascii="Times New Roman" w:eastAsia="Times New Roman" w:hAnsi="Times New Roman" w:cs="Times New Roman"/>
          <w:color w:val="002060"/>
          <w:sz w:val="24"/>
          <w:szCs w:val="24"/>
        </w:rPr>
        <w:t xml:space="preserve">Certify that the </w:t>
      </w:r>
      <w:r w:rsidR="29F9081A" w:rsidRPr="002305F9">
        <w:rPr>
          <w:rFonts w:ascii="Times New Roman" w:eastAsia="Times New Roman" w:hAnsi="Times New Roman" w:cs="Times New Roman"/>
          <w:color w:val="002060"/>
          <w:sz w:val="24"/>
          <w:szCs w:val="24"/>
        </w:rPr>
        <w:t>Lead Contractor</w:t>
      </w:r>
      <w:r w:rsidRPr="002305F9">
        <w:rPr>
          <w:rFonts w:ascii="Times New Roman" w:eastAsia="Times New Roman" w:hAnsi="Times New Roman" w:cs="Times New Roman"/>
          <w:color w:val="002060"/>
          <w:sz w:val="24"/>
          <w:szCs w:val="24"/>
        </w:rPr>
        <w:t>, its staff, and any of its subcontractors will not have a conflict of interest during its term as an assister entity (</w:t>
      </w:r>
      <w:r w:rsidRPr="002305F9">
        <w:rPr>
          <w:rFonts w:ascii="Times New Roman" w:eastAsia="Times New Roman" w:hAnsi="Times New Roman" w:cs="Times New Roman"/>
          <w:i/>
          <w:iCs/>
          <w:color w:val="002060"/>
          <w:sz w:val="24"/>
          <w:szCs w:val="24"/>
        </w:rPr>
        <w:t xml:space="preserve">see </w:t>
      </w:r>
      <w:r w:rsidRPr="002305F9">
        <w:rPr>
          <w:rFonts w:ascii="Times New Roman" w:eastAsia="Times New Roman" w:hAnsi="Times New Roman" w:cs="Times New Roman"/>
          <w:color w:val="002060"/>
          <w:sz w:val="24"/>
          <w:szCs w:val="24"/>
        </w:rPr>
        <w:t xml:space="preserve">45 C.F.R. §155.215(a)), and if a conflict of interest occurs (including receipt of payment or other consideration from a health insurance issuer in connection with enrollment of individuals or groups), </w:t>
      </w:r>
      <w:r w:rsidR="674A7872" w:rsidRPr="002305F9">
        <w:rPr>
          <w:rFonts w:ascii="Times New Roman" w:eastAsia="Times New Roman" w:hAnsi="Times New Roman" w:cs="Times New Roman"/>
          <w:color w:val="002060"/>
          <w:sz w:val="24"/>
          <w:szCs w:val="24"/>
        </w:rPr>
        <w:t xml:space="preserve">Lead Contractor will notify the Issuing </w:t>
      </w:r>
      <w:r w:rsidR="009B78F9" w:rsidRPr="002305F9">
        <w:rPr>
          <w:rFonts w:ascii="Times New Roman" w:eastAsia="Times New Roman" w:hAnsi="Times New Roman" w:cs="Times New Roman"/>
          <w:color w:val="002060"/>
          <w:sz w:val="24"/>
          <w:szCs w:val="24"/>
        </w:rPr>
        <w:t>O</w:t>
      </w:r>
      <w:r w:rsidRPr="002305F9">
        <w:rPr>
          <w:rFonts w:ascii="Times New Roman" w:eastAsia="Times New Roman" w:hAnsi="Times New Roman" w:cs="Times New Roman"/>
          <w:color w:val="002060"/>
          <w:sz w:val="24"/>
          <w:szCs w:val="24"/>
        </w:rPr>
        <w:t xml:space="preserve">ffice immediately and may be required to pay back funds received pursuant to this RFP to the Commonwealth via </w:t>
      </w:r>
      <w:r w:rsidR="58454FA1" w:rsidRPr="002305F9">
        <w:rPr>
          <w:rFonts w:ascii="Times New Roman" w:eastAsia="Times New Roman" w:hAnsi="Times New Roman" w:cs="Times New Roman"/>
          <w:color w:val="002060"/>
          <w:sz w:val="24"/>
          <w:szCs w:val="24"/>
        </w:rPr>
        <w:t>Pennie</w:t>
      </w:r>
    </w:p>
    <w:p w14:paraId="335335B8" w14:textId="2A5D981E" w:rsidR="0E292FA8" w:rsidRPr="002305F9" w:rsidRDefault="0E292FA8" w:rsidP="00267BF0">
      <w:pPr>
        <w:pStyle w:val="ListParagraph"/>
        <w:widowControl w:val="0"/>
        <w:numPr>
          <w:ilvl w:val="1"/>
          <w:numId w:val="1"/>
        </w:numPr>
        <w:tabs>
          <w:tab w:val="left" w:pos="839"/>
        </w:tabs>
        <w:rPr>
          <w:rFonts w:ascii="Times New Roman" w:eastAsia="Times New Roman" w:hAnsi="Times New Roman" w:cs="Times New Roman"/>
          <w:color w:val="002060"/>
          <w:sz w:val="24"/>
          <w:szCs w:val="24"/>
        </w:rPr>
      </w:pPr>
      <w:r w:rsidRPr="002305F9">
        <w:rPr>
          <w:rFonts w:ascii="Times New Roman" w:eastAsia="Times New Roman" w:hAnsi="Times New Roman" w:cs="Times New Roman"/>
          <w:color w:val="002060"/>
          <w:sz w:val="24"/>
          <w:szCs w:val="24"/>
        </w:rPr>
        <w:t xml:space="preserve">Demonstrate how </w:t>
      </w:r>
      <w:r w:rsidR="560AD3F4" w:rsidRPr="002305F9">
        <w:rPr>
          <w:rFonts w:ascii="Times New Roman" w:eastAsia="Times New Roman" w:hAnsi="Times New Roman" w:cs="Times New Roman"/>
          <w:color w:val="002060"/>
          <w:sz w:val="24"/>
          <w:szCs w:val="24"/>
        </w:rPr>
        <w:t xml:space="preserve">Lead Contractor </w:t>
      </w:r>
      <w:r w:rsidRPr="002305F9">
        <w:rPr>
          <w:rFonts w:ascii="Times New Roman" w:eastAsia="Times New Roman" w:hAnsi="Times New Roman" w:cs="Times New Roman"/>
          <w:color w:val="002060"/>
          <w:sz w:val="24"/>
          <w:szCs w:val="24"/>
        </w:rPr>
        <w:t xml:space="preserve">will implement processes that comply with the privacy and security standards adopted by </w:t>
      </w:r>
      <w:r w:rsidR="599C2884" w:rsidRPr="002305F9">
        <w:rPr>
          <w:rFonts w:ascii="Times New Roman" w:eastAsia="Times New Roman" w:hAnsi="Times New Roman" w:cs="Times New Roman"/>
          <w:color w:val="002060"/>
          <w:sz w:val="24"/>
          <w:szCs w:val="24"/>
        </w:rPr>
        <w:t xml:space="preserve">Pennie </w:t>
      </w:r>
      <w:r w:rsidRPr="002305F9">
        <w:rPr>
          <w:rFonts w:ascii="Times New Roman" w:eastAsia="Times New Roman" w:hAnsi="Times New Roman" w:cs="Times New Roman"/>
          <w:color w:val="002060"/>
          <w:sz w:val="24"/>
          <w:szCs w:val="24"/>
        </w:rPr>
        <w:t>as required in accordance with 45 CFR § 155.260.</w:t>
      </w:r>
    </w:p>
    <w:p w14:paraId="0EEE98C2" w14:textId="1E6B565C" w:rsidR="37E3EA72" w:rsidRPr="002305F9" w:rsidRDefault="37E3EA72" w:rsidP="29B81E88">
      <w:pPr>
        <w:widowControl w:val="0"/>
        <w:rPr>
          <w:rStyle w:val="Hyperlink"/>
          <w:rFonts w:ascii="Times New Roman" w:eastAsia="Times New Roman" w:hAnsi="Times New Roman" w:cs="Times New Roman"/>
          <w:color w:val="002060"/>
        </w:rPr>
      </w:pPr>
      <w:r w:rsidRPr="002305F9">
        <w:rPr>
          <w:rFonts w:ascii="Times New Roman" w:eastAsia="Times New Roman" w:hAnsi="Times New Roman" w:cs="Times New Roman"/>
          <w:color w:val="002060"/>
        </w:rPr>
        <w:t xml:space="preserve">More information about the Assister program in PA: </w:t>
      </w:r>
      <w:hyperlink r:id="rId10">
        <w:r w:rsidRPr="002305F9">
          <w:rPr>
            <w:rStyle w:val="Hyperlink"/>
            <w:rFonts w:ascii="Times New Roman" w:eastAsia="Times New Roman" w:hAnsi="Times New Roman" w:cs="Times New Roman"/>
            <w:color w:val="002060"/>
          </w:rPr>
          <w:t>https://www.insurance.pa.gov/Licensees/Navigators/Pages/default.aspx</w:t>
        </w:r>
      </w:hyperlink>
    </w:p>
    <w:p w14:paraId="4743BE37" w14:textId="62BDFE4E" w:rsidR="37E3EA72" w:rsidRPr="002305F9" w:rsidRDefault="00000000" w:rsidP="29B81E88">
      <w:pPr>
        <w:widowControl w:val="0"/>
        <w:rPr>
          <w:rFonts w:ascii="Times New Roman" w:eastAsia="Times New Roman" w:hAnsi="Times New Roman" w:cs="Times New Roman"/>
          <w:color w:val="002060"/>
        </w:rPr>
      </w:pPr>
      <w:hyperlink r:id="rId11">
        <w:r w:rsidR="37E3EA72" w:rsidRPr="002305F9">
          <w:rPr>
            <w:rStyle w:val="Hyperlink"/>
            <w:rFonts w:ascii="Times New Roman" w:eastAsia="Times New Roman" w:hAnsi="Times New Roman" w:cs="Times New Roman"/>
            <w:color w:val="002060"/>
          </w:rPr>
          <w:t>https://agency.pennie.com/assisters/</w:t>
        </w:r>
      </w:hyperlink>
      <w:r w:rsidR="37E3EA72" w:rsidRPr="002305F9">
        <w:rPr>
          <w:rFonts w:ascii="Times New Roman" w:eastAsia="Times New Roman" w:hAnsi="Times New Roman" w:cs="Times New Roman"/>
          <w:color w:val="002060"/>
        </w:rPr>
        <w:t xml:space="preserve"> </w:t>
      </w:r>
    </w:p>
    <w:sectPr w:rsidR="37E3EA72" w:rsidRPr="002305F9" w:rsidSect="00EC5B09">
      <w:footerReference w:type="even" r:id="rId12"/>
      <w:footerReference w:type="default" r:id="rId13"/>
      <w:headerReference w:type="first" r:id="rId14"/>
      <w:footerReference w:type="first" r:id="rId15"/>
      <w:pgSz w:w="12240" w:h="15840"/>
      <w:pgMar w:top="1440" w:right="1440" w:bottom="1440" w:left="1440" w:header="720" w:footer="36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ABBCEA" w14:textId="77777777" w:rsidR="00AB45F1" w:rsidRDefault="00AB45F1" w:rsidP="000542E1">
      <w:pPr>
        <w:spacing w:after="0" w:line="240" w:lineRule="auto"/>
      </w:pPr>
      <w:r>
        <w:separator/>
      </w:r>
    </w:p>
  </w:endnote>
  <w:endnote w:type="continuationSeparator" w:id="0">
    <w:p w14:paraId="14CC38D9" w14:textId="77777777" w:rsidR="00AB45F1" w:rsidRDefault="00AB45F1" w:rsidP="000542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1351980"/>
      <w:docPartObj>
        <w:docPartGallery w:val="Page Numbers (Bottom of Page)"/>
        <w:docPartUnique/>
      </w:docPartObj>
    </w:sdtPr>
    <w:sdtContent>
      <w:sdt>
        <w:sdtPr>
          <w:id w:val="-1769616900"/>
          <w:docPartObj>
            <w:docPartGallery w:val="Page Numbers (Top of Page)"/>
            <w:docPartUnique/>
          </w:docPartObj>
        </w:sdtPr>
        <w:sdtContent>
          <w:p w14:paraId="6AC20B25" w14:textId="67DEE424" w:rsidR="00893178" w:rsidRDefault="00893178">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645CE34" w14:textId="77777777" w:rsidR="00893178" w:rsidRDefault="008931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1346461"/>
      <w:docPartObj>
        <w:docPartGallery w:val="Page Numbers (Bottom of Page)"/>
        <w:docPartUnique/>
      </w:docPartObj>
    </w:sdtPr>
    <w:sdtEndPr>
      <w:rPr>
        <w:rFonts w:ascii="Times New Roman" w:hAnsi="Times New Roman" w:cs="Times New Roman"/>
        <w:color w:val="002060"/>
      </w:rPr>
    </w:sdtEndPr>
    <w:sdtContent>
      <w:sdt>
        <w:sdtPr>
          <w:id w:val="-1325740495"/>
          <w:docPartObj>
            <w:docPartGallery w:val="Page Numbers (Top of Page)"/>
            <w:docPartUnique/>
          </w:docPartObj>
        </w:sdtPr>
        <w:sdtEndPr>
          <w:rPr>
            <w:rFonts w:ascii="Times New Roman" w:hAnsi="Times New Roman" w:cs="Times New Roman"/>
            <w:color w:val="002060"/>
          </w:rPr>
        </w:sdtEndPr>
        <w:sdtContent>
          <w:p w14:paraId="51B911AB" w14:textId="77DD81D0" w:rsidR="00C00C6A" w:rsidRPr="00C00C6A" w:rsidRDefault="00C00C6A">
            <w:pPr>
              <w:pStyle w:val="Footer"/>
              <w:jc w:val="right"/>
              <w:rPr>
                <w:rFonts w:ascii="Times New Roman" w:hAnsi="Times New Roman" w:cs="Times New Roman"/>
                <w:color w:val="002060"/>
              </w:rPr>
            </w:pPr>
            <w:r w:rsidRPr="00C00C6A">
              <w:rPr>
                <w:rFonts w:ascii="Times New Roman" w:hAnsi="Times New Roman" w:cs="Times New Roman"/>
                <w:color w:val="002060"/>
              </w:rPr>
              <w:t xml:space="preserve">Page </w:t>
            </w:r>
            <w:r w:rsidRPr="00C00C6A">
              <w:rPr>
                <w:rFonts w:ascii="Times New Roman" w:hAnsi="Times New Roman" w:cs="Times New Roman"/>
                <w:b/>
                <w:bCs/>
                <w:color w:val="002060"/>
                <w:sz w:val="24"/>
                <w:szCs w:val="24"/>
              </w:rPr>
              <w:fldChar w:fldCharType="begin"/>
            </w:r>
            <w:r w:rsidRPr="00C00C6A">
              <w:rPr>
                <w:rFonts w:ascii="Times New Roman" w:hAnsi="Times New Roman" w:cs="Times New Roman"/>
                <w:b/>
                <w:bCs/>
                <w:color w:val="002060"/>
              </w:rPr>
              <w:instrText xml:space="preserve"> PAGE </w:instrText>
            </w:r>
            <w:r w:rsidRPr="00C00C6A">
              <w:rPr>
                <w:rFonts w:ascii="Times New Roman" w:hAnsi="Times New Roman" w:cs="Times New Roman"/>
                <w:b/>
                <w:bCs/>
                <w:color w:val="002060"/>
                <w:sz w:val="24"/>
                <w:szCs w:val="24"/>
              </w:rPr>
              <w:fldChar w:fldCharType="separate"/>
            </w:r>
            <w:r w:rsidRPr="00C00C6A">
              <w:rPr>
                <w:rFonts w:ascii="Times New Roman" w:hAnsi="Times New Roman" w:cs="Times New Roman"/>
                <w:b/>
                <w:bCs/>
                <w:noProof/>
                <w:color w:val="002060"/>
              </w:rPr>
              <w:t>2</w:t>
            </w:r>
            <w:r w:rsidRPr="00C00C6A">
              <w:rPr>
                <w:rFonts w:ascii="Times New Roman" w:hAnsi="Times New Roman" w:cs="Times New Roman"/>
                <w:b/>
                <w:bCs/>
                <w:color w:val="002060"/>
                <w:sz w:val="24"/>
                <w:szCs w:val="24"/>
              </w:rPr>
              <w:fldChar w:fldCharType="end"/>
            </w:r>
            <w:r w:rsidRPr="00C00C6A">
              <w:rPr>
                <w:rFonts w:ascii="Times New Roman" w:hAnsi="Times New Roman" w:cs="Times New Roman"/>
                <w:color w:val="002060"/>
              </w:rPr>
              <w:t xml:space="preserve"> of </w:t>
            </w:r>
            <w:r w:rsidRPr="00C00C6A">
              <w:rPr>
                <w:rFonts w:ascii="Times New Roman" w:hAnsi="Times New Roman" w:cs="Times New Roman"/>
                <w:b/>
                <w:bCs/>
                <w:color w:val="002060"/>
                <w:sz w:val="24"/>
                <w:szCs w:val="24"/>
              </w:rPr>
              <w:fldChar w:fldCharType="begin"/>
            </w:r>
            <w:r w:rsidRPr="00C00C6A">
              <w:rPr>
                <w:rFonts w:ascii="Times New Roman" w:hAnsi="Times New Roman" w:cs="Times New Roman"/>
                <w:b/>
                <w:bCs/>
                <w:color w:val="002060"/>
              </w:rPr>
              <w:instrText xml:space="preserve"> NUMPAGES  </w:instrText>
            </w:r>
            <w:r w:rsidRPr="00C00C6A">
              <w:rPr>
                <w:rFonts w:ascii="Times New Roman" w:hAnsi="Times New Roman" w:cs="Times New Roman"/>
                <w:b/>
                <w:bCs/>
                <w:color w:val="002060"/>
                <w:sz w:val="24"/>
                <w:szCs w:val="24"/>
              </w:rPr>
              <w:fldChar w:fldCharType="separate"/>
            </w:r>
            <w:r w:rsidRPr="00C00C6A">
              <w:rPr>
                <w:rFonts w:ascii="Times New Roman" w:hAnsi="Times New Roman" w:cs="Times New Roman"/>
                <w:b/>
                <w:bCs/>
                <w:noProof/>
                <w:color w:val="002060"/>
              </w:rPr>
              <w:t>2</w:t>
            </w:r>
            <w:r w:rsidRPr="00C00C6A">
              <w:rPr>
                <w:rFonts w:ascii="Times New Roman" w:hAnsi="Times New Roman" w:cs="Times New Roman"/>
                <w:b/>
                <w:bCs/>
                <w:color w:val="002060"/>
                <w:sz w:val="24"/>
                <w:szCs w:val="24"/>
              </w:rPr>
              <w:fldChar w:fldCharType="end"/>
            </w:r>
          </w:p>
        </w:sdtContent>
      </w:sdt>
    </w:sdtContent>
  </w:sdt>
  <w:p w14:paraId="52407C3F" w14:textId="77777777" w:rsidR="00EC5B09" w:rsidRDefault="00EC5B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5716432"/>
      <w:docPartObj>
        <w:docPartGallery w:val="Page Numbers (Bottom of Page)"/>
        <w:docPartUnique/>
      </w:docPartObj>
    </w:sdtPr>
    <w:sdtEndPr>
      <w:rPr>
        <w:rFonts w:ascii="Times New Roman" w:hAnsi="Times New Roman" w:cs="Times New Roman"/>
        <w:color w:val="002060"/>
      </w:rPr>
    </w:sdtEndPr>
    <w:sdtContent>
      <w:sdt>
        <w:sdtPr>
          <w:id w:val="-1855413775"/>
          <w:docPartObj>
            <w:docPartGallery w:val="Page Numbers (Top of Page)"/>
            <w:docPartUnique/>
          </w:docPartObj>
        </w:sdtPr>
        <w:sdtEndPr>
          <w:rPr>
            <w:rFonts w:ascii="Times New Roman" w:hAnsi="Times New Roman" w:cs="Times New Roman"/>
            <w:color w:val="002060"/>
          </w:rPr>
        </w:sdtEndPr>
        <w:sdtContent>
          <w:p w14:paraId="05E5906B" w14:textId="5CE7A028" w:rsidR="00C00C6A" w:rsidRPr="00C00C6A" w:rsidRDefault="00C00C6A">
            <w:pPr>
              <w:pStyle w:val="Footer"/>
              <w:jc w:val="right"/>
              <w:rPr>
                <w:rFonts w:ascii="Times New Roman" w:hAnsi="Times New Roman" w:cs="Times New Roman"/>
                <w:color w:val="002060"/>
              </w:rPr>
            </w:pPr>
            <w:r w:rsidRPr="00C00C6A">
              <w:rPr>
                <w:rFonts w:ascii="Times New Roman" w:hAnsi="Times New Roman" w:cs="Times New Roman"/>
                <w:color w:val="002060"/>
              </w:rPr>
              <w:t xml:space="preserve">Page </w:t>
            </w:r>
            <w:r w:rsidRPr="00C00C6A">
              <w:rPr>
                <w:rFonts w:ascii="Times New Roman" w:hAnsi="Times New Roman" w:cs="Times New Roman"/>
                <w:b/>
                <w:bCs/>
                <w:color w:val="002060"/>
                <w:sz w:val="24"/>
                <w:szCs w:val="24"/>
              </w:rPr>
              <w:fldChar w:fldCharType="begin"/>
            </w:r>
            <w:r w:rsidRPr="00C00C6A">
              <w:rPr>
                <w:rFonts w:ascii="Times New Roman" w:hAnsi="Times New Roman" w:cs="Times New Roman"/>
                <w:b/>
                <w:bCs/>
                <w:color w:val="002060"/>
              </w:rPr>
              <w:instrText xml:space="preserve"> PAGE </w:instrText>
            </w:r>
            <w:r w:rsidRPr="00C00C6A">
              <w:rPr>
                <w:rFonts w:ascii="Times New Roman" w:hAnsi="Times New Roman" w:cs="Times New Roman"/>
                <w:b/>
                <w:bCs/>
                <w:color w:val="002060"/>
                <w:sz w:val="24"/>
                <w:szCs w:val="24"/>
              </w:rPr>
              <w:fldChar w:fldCharType="separate"/>
            </w:r>
            <w:r w:rsidRPr="00C00C6A">
              <w:rPr>
                <w:rFonts w:ascii="Times New Roman" w:hAnsi="Times New Roman" w:cs="Times New Roman"/>
                <w:b/>
                <w:bCs/>
                <w:noProof/>
                <w:color w:val="002060"/>
              </w:rPr>
              <w:t>2</w:t>
            </w:r>
            <w:r w:rsidRPr="00C00C6A">
              <w:rPr>
                <w:rFonts w:ascii="Times New Roman" w:hAnsi="Times New Roman" w:cs="Times New Roman"/>
                <w:b/>
                <w:bCs/>
                <w:color w:val="002060"/>
                <w:sz w:val="24"/>
                <w:szCs w:val="24"/>
              </w:rPr>
              <w:fldChar w:fldCharType="end"/>
            </w:r>
            <w:r w:rsidRPr="00C00C6A">
              <w:rPr>
                <w:rFonts w:ascii="Times New Roman" w:hAnsi="Times New Roman" w:cs="Times New Roman"/>
                <w:color w:val="002060"/>
              </w:rPr>
              <w:t xml:space="preserve"> of </w:t>
            </w:r>
            <w:r w:rsidRPr="00C00C6A">
              <w:rPr>
                <w:rFonts w:ascii="Times New Roman" w:hAnsi="Times New Roman" w:cs="Times New Roman"/>
                <w:b/>
                <w:bCs/>
                <w:color w:val="002060"/>
                <w:sz w:val="24"/>
                <w:szCs w:val="24"/>
              </w:rPr>
              <w:fldChar w:fldCharType="begin"/>
            </w:r>
            <w:r w:rsidRPr="00C00C6A">
              <w:rPr>
                <w:rFonts w:ascii="Times New Roman" w:hAnsi="Times New Roman" w:cs="Times New Roman"/>
                <w:b/>
                <w:bCs/>
                <w:color w:val="002060"/>
              </w:rPr>
              <w:instrText xml:space="preserve"> NUMPAGES  </w:instrText>
            </w:r>
            <w:r w:rsidRPr="00C00C6A">
              <w:rPr>
                <w:rFonts w:ascii="Times New Roman" w:hAnsi="Times New Roman" w:cs="Times New Roman"/>
                <w:b/>
                <w:bCs/>
                <w:color w:val="002060"/>
                <w:sz w:val="24"/>
                <w:szCs w:val="24"/>
              </w:rPr>
              <w:fldChar w:fldCharType="separate"/>
            </w:r>
            <w:r w:rsidRPr="00C00C6A">
              <w:rPr>
                <w:rFonts w:ascii="Times New Roman" w:hAnsi="Times New Roman" w:cs="Times New Roman"/>
                <w:b/>
                <w:bCs/>
                <w:noProof/>
                <w:color w:val="002060"/>
              </w:rPr>
              <w:t>2</w:t>
            </w:r>
            <w:r w:rsidRPr="00C00C6A">
              <w:rPr>
                <w:rFonts w:ascii="Times New Roman" w:hAnsi="Times New Roman" w:cs="Times New Roman"/>
                <w:b/>
                <w:bCs/>
                <w:color w:val="002060"/>
                <w:sz w:val="24"/>
                <w:szCs w:val="24"/>
              </w:rPr>
              <w:fldChar w:fldCharType="end"/>
            </w:r>
          </w:p>
        </w:sdtContent>
      </w:sdt>
    </w:sdtContent>
  </w:sdt>
  <w:p w14:paraId="7556D025" w14:textId="77777777" w:rsidR="00EC5B09" w:rsidRDefault="00EC5B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09AD99" w14:textId="77777777" w:rsidR="00AB45F1" w:rsidRDefault="00AB45F1" w:rsidP="000542E1">
      <w:pPr>
        <w:spacing w:after="0" w:line="240" w:lineRule="auto"/>
      </w:pPr>
      <w:r>
        <w:separator/>
      </w:r>
    </w:p>
  </w:footnote>
  <w:footnote w:type="continuationSeparator" w:id="0">
    <w:p w14:paraId="7AAF6AA9" w14:textId="77777777" w:rsidR="00AB45F1" w:rsidRDefault="00AB45F1" w:rsidP="000542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4DDC4" w14:textId="46226C61" w:rsidR="004C3AB6" w:rsidRDefault="004C3AB6">
    <w:pPr>
      <w:pStyle w:val="Header"/>
    </w:pPr>
    <w:r>
      <w:rPr>
        <w:noProof/>
      </w:rPr>
      <w:drawing>
        <wp:inline distT="0" distB="0" distL="0" distR="0" wp14:anchorId="31A48CF2" wp14:editId="10BFF33D">
          <wp:extent cx="4135902" cy="360566"/>
          <wp:effectExtent l="0" t="0" r="0" b="0"/>
          <wp:docPr id="9975160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425548" name="Picture 928425548"/>
                  <pic:cNvPicPr/>
                </pic:nvPicPr>
                <pic:blipFill>
                  <a:blip r:embed="rId1">
                    <a:extLst>
                      <a:ext uri="{28A0092B-C50C-407E-A947-70E740481C1C}">
                        <a14:useLocalDpi xmlns:a14="http://schemas.microsoft.com/office/drawing/2010/main" val="0"/>
                      </a:ext>
                    </a:extLst>
                  </a:blip>
                  <a:stretch>
                    <a:fillRect/>
                  </a:stretch>
                </pic:blipFill>
                <pic:spPr>
                  <a:xfrm>
                    <a:off x="0" y="0"/>
                    <a:ext cx="4262870" cy="37163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5EF104"/>
    <w:multiLevelType w:val="hybridMultilevel"/>
    <w:tmpl w:val="8738FE70"/>
    <w:lvl w:ilvl="0" w:tplc="A8A0A32E">
      <w:start w:val="1"/>
      <w:numFmt w:val="upperLetter"/>
      <w:lvlText w:val="%1."/>
      <w:lvlJc w:val="left"/>
      <w:pPr>
        <w:ind w:left="840" w:hanging="360"/>
      </w:pPr>
    </w:lvl>
    <w:lvl w:ilvl="1" w:tplc="8882668A">
      <w:start w:val="1"/>
      <w:numFmt w:val="lowerLetter"/>
      <w:lvlText w:val="%2."/>
      <w:lvlJc w:val="left"/>
      <w:pPr>
        <w:ind w:left="1560" w:hanging="360"/>
      </w:pPr>
    </w:lvl>
    <w:lvl w:ilvl="2" w:tplc="568EE948">
      <w:start w:val="1"/>
      <w:numFmt w:val="lowerRoman"/>
      <w:lvlText w:val="%3."/>
      <w:lvlJc w:val="right"/>
      <w:pPr>
        <w:ind w:left="2280" w:hanging="180"/>
      </w:pPr>
    </w:lvl>
    <w:lvl w:ilvl="3" w:tplc="EE9EAA58">
      <w:start w:val="1"/>
      <w:numFmt w:val="decimal"/>
      <w:lvlText w:val="%4."/>
      <w:lvlJc w:val="left"/>
      <w:pPr>
        <w:ind w:left="2880" w:hanging="360"/>
      </w:pPr>
    </w:lvl>
    <w:lvl w:ilvl="4" w:tplc="8D9E7ACC">
      <w:start w:val="1"/>
      <w:numFmt w:val="lowerLetter"/>
      <w:lvlText w:val="%5."/>
      <w:lvlJc w:val="left"/>
      <w:pPr>
        <w:ind w:left="3600" w:hanging="360"/>
      </w:pPr>
    </w:lvl>
    <w:lvl w:ilvl="5" w:tplc="67440AA6">
      <w:start w:val="1"/>
      <w:numFmt w:val="lowerRoman"/>
      <w:lvlText w:val="%6."/>
      <w:lvlJc w:val="right"/>
      <w:pPr>
        <w:ind w:left="4320" w:hanging="180"/>
      </w:pPr>
    </w:lvl>
    <w:lvl w:ilvl="6" w:tplc="E5D6F56A">
      <w:start w:val="1"/>
      <w:numFmt w:val="decimal"/>
      <w:lvlText w:val="%7."/>
      <w:lvlJc w:val="left"/>
      <w:pPr>
        <w:ind w:left="5040" w:hanging="360"/>
      </w:pPr>
    </w:lvl>
    <w:lvl w:ilvl="7" w:tplc="98044C90">
      <w:start w:val="1"/>
      <w:numFmt w:val="lowerLetter"/>
      <w:lvlText w:val="%8."/>
      <w:lvlJc w:val="left"/>
      <w:pPr>
        <w:ind w:left="5760" w:hanging="360"/>
      </w:pPr>
    </w:lvl>
    <w:lvl w:ilvl="8" w:tplc="8970F274">
      <w:start w:val="1"/>
      <w:numFmt w:val="lowerRoman"/>
      <w:lvlText w:val="%9."/>
      <w:lvlJc w:val="right"/>
      <w:pPr>
        <w:ind w:left="6480" w:hanging="180"/>
      </w:pPr>
    </w:lvl>
  </w:abstractNum>
  <w:num w:numId="1" w16cid:durableId="926888599">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5F1B277"/>
    <w:rsid w:val="000542E1"/>
    <w:rsid w:val="00080541"/>
    <w:rsid w:val="00097D66"/>
    <w:rsid w:val="000D7847"/>
    <w:rsid w:val="00115561"/>
    <w:rsid w:val="0016220D"/>
    <w:rsid w:val="001B12B0"/>
    <w:rsid w:val="001C02B4"/>
    <w:rsid w:val="00214BED"/>
    <w:rsid w:val="002305F9"/>
    <w:rsid w:val="00267BF0"/>
    <w:rsid w:val="002D1ECE"/>
    <w:rsid w:val="002E4FEA"/>
    <w:rsid w:val="003A73B9"/>
    <w:rsid w:val="00414D4A"/>
    <w:rsid w:val="00491808"/>
    <w:rsid w:val="004C3AB6"/>
    <w:rsid w:val="00541C21"/>
    <w:rsid w:val="005C20E7"/>
    <w:rsid w:val="005D3E50"/>
    <w:rsid w:val="0067603D"/>
    <w:rsid w:val="0069310B"/>
    <w:rsid w:val="006F2942"/>
    <w:rsid w:val="00754FBE"/>
    <w:rsid w:val="00770CBE"/>
    <w:rsid w:val="00774EC7"/>
    <w:rsid w:val="00783290"/>
    <w:rsid w:val="00803E68"/>
    <w:rsid w:val="00836E9B"/>
    <w:rsid w:val="00854EDD"/>
    <w:rsid w:val="008723AE"/>
    <w:rsid w:val="00893178"/>
    <w:rsid w:val="00933BC5"/>
    <w:rsid w:val="00933CF7"/>
    <w:rsid w:val="009B78F9"/>
    <w:rsid w:val="00A24CCE"/>
    <w:rsid w:val="00AB3517"/>
    <w:rsid w:val="00AB45F1"/>
    <w:rsid w:val="00AD2A7E"/>
    <w:rsid w:val="00AF0BDE"/>
    <w:rsid w:val="00AF2E1D"/>
    <w:rsid w:val="00AF654C"/>
    <w:rsid w:val="00C00C6A"/>
    <w:rsid w:val="00C222AC"/>
    <w:rsid w:val="00C43F1C"/>
    <w:rsid w:val="00C55E6D"/>
    <w:rsid w:val="00C81BA8"/>
    <w:rsid w:val="00C8555E"/>
    <w:rsid w:val="00C92D2E"/>
    <w:rsid w:val="00C93E91"/>
    <w:rsid w:val="00CE4712"/>
    <w:rsid w:val="00CF4B70"/>
    <w:rsid w:val="00DB50A7"/>
    <w:rsid w:val="00DF2091"/>
    <w:rsid w:val="00DF7F44"/>
    <w:rsid w:val="00E51AD7"/>
    <w:rsid w:val="00EC5B09"/>
    <w:rsid w:val="00ED3417"/>
    <w:rsid w:val="00F008A7"/>
    <w:rsid w:val="011ED57F"/>
    <w:rsid w:val="03E85214"/>
    <w:rsid w:val="051E59F4"/>
    <w:rsid w:val="062C0F37"/>
    <w:rsid w:val="0D4957D8"/>
    <w:rsid w:val="0E292FA8"/>
    <w:rsid w:val="105DBEA7"/>
    <w:rsid w:val="126AF7AA"/>
    <w:rsid w:val="12F67E4A"/>
    <w:rsid w:val="132ACBB4"/>
    <w:rsid w:val="1351A313"/>
    <w:rsid w:val="1406C80B"/>
    <w:rsid w:val="14AE5026"/>
    <w:rsid w:val="17E5F0E8"/>
    <w:rsid w:val="1CCA69E4"/>
    <w:rsid w:val="1D9AED0D"/>
    <w:rsid w:val="224034AD"/>
    <w:rsid w:val="2422C7A8"/>
    <w:rsid w:val="266B574B"/>
    <w:rsid w:val="2826B454"/>
    <w:rsid w:val="298FC48F"/>
    <w:rsid w:val="29B81E88"/>
    <w:rsid w:val="29F9081A"/>
    <w:rsid w:val="2C13B44A"/>
    <w:rsid w:val="2D090369"/>
    <w:rsid w:val="2E9E68B1"/>
    <w:rsid w:val="31FFC871"/>
    <w:rsid w:val="34003992"/>
    <w:rsid w:val="37E3EA72"/>
    <w:rsid w:val="37F70477"/>
    <w:rsid w:val="38C7A548"/>
    <w:rsid w:val="3CFF0E6A"/>
    <w:rsid w:val="3DA71BD8"/>
    <w:rsid w:val="41CDDADC"/>
    <w:rsid w:val="452BBB85"/>
    <w:rsid w:val="45BA1B43"/>
    <w:rsid w:val="45F1B277"/>
    <w:rsid w:val="487E0AAB"/>
    <w:rsid w:val="4ACCAFB4"/>
    <w:rsid w:val="5289A386"/>
    <w:rsid w:val="560AD3F4"/>
    <w:rsid w:val="58454FA1"/>
    <w:rsid w:val="585FD261"/>
    <w:rsid w:val="599C2884"/>
    <w:rsid w:val="5BBBE8BF"/>
    <w:rsid w:val="5BDB5BCE"/>
    <w:rsid w:val="5F0E3733"/>
    <w:rsid w:val="5FFF6975"/>
    <w:rsid w:val="6051BBE9"/>
    <w:rsid w:val="60AA0794"/>
    <w:rsid w:val="62B458AB"/>
    <w:rsid w:val="62E1D490"/>
    <w:rsid w:val="64DB1180"/>
    <w:rsid w:val="65252D0C"/>
    <w:rsid w:val="6571BEA6"/>
    <w:rsid w:val="674A7872"/>
    <w:rsid w:val="69AFCA34"/>
    <w:rsid w:val="75336511"/>
    <w:rsid w:val="76F75AAC"/>
    <w:rsid w:val="78932B0D"/>
    <w:rsid w:val="7D1FB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1B277"/>
  <w15:chartTrackingRefBased/>
  <w15:docId w15:val="{5529CBFF-D603-494E-93D3-B24A98E8A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uiPriority w:val="1"/>
    <w:rsid w:val="29B81E88"/>
  </w:style>
  <w:style w:type="character" w:customStyle="1" w:styleId="eop">
    <w:name w:val="eop"/>
    <w:basedOn w:val="DefaultParagraphFont"/>
    <w:uiPriority w:val="1"/>
    <w:rsid w:val="29B81E88"/>
  </w:style>
  <w:style w:type="character" w:customStyle="1" w:styleId="contextualspellingandgrammarerror">
    <w:name w:val="contextualspellingandgrammarerror"/>
    <w:basedOn w:val="DefaultParagraphFont"/>
    <w:uiPriority w:val="1"/>
    <w:rsid w:val="29B81E88"/>
  </w:style>
  <w:style w:type="character" w:customStyle="1" w:styleId="advancedproofingissue">
    <w:name w:val="advancedproofingissue"/>
    <w:basedOn w:val="DefaultParagraphFont"/>
    <w:uiPriority w:val="1"/>
    <w:rsid w:val="29B81E88"/>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Revision">
    <w:name w:val="Revision"/>
    <w:hidden/>
    <w:uiPriority w:val="99"/>
    <w:semiHidden/>
    <w:rsid w:val="002E4FEA"/>
    <w:pPr>
      <w:spacing w:after="0" w:line="240" w:lineRule="auto"/>
    </w:pPr>
  </w:style>
  <w:style w:type="character" w:customStyle="1" w:styleId="cohovertext">
    <w:name w:val="co_hovertext"/>
    <w:basedOn w:val="DefaultParagraphFont"/>
    <w:rsid w:val="00774EC7"/>
  </w:style>
  <w:style w:type="character" w:styleId="FollowedHyperlink">
    <w:name w:val="FollowedHyperlink"/>
    <w:basedOn w:val="DefaultParagraphFont"/>
    <w:uiPriority w:val="99"/>
    <w:semiHidden/>
    <w:unhideWhenUsed/>
    <w:rsid w:val="001B12B0"/>
    <w:rPr>
      <w:color w:val="954F72" w:themeColor="followedHyperlink"/>
      <w:u w:val="single"/>
    </w:rPr>
  </w:style>
  <w:style w:type="paragraph" w:styleId="Header">
    <w:name w:val="header"/>
    <w:basedOn w:val="Normal"/>
    <w:link w:val="HeaderChar"/>
    <w:uiPriority w:val="99"/>
    <w:unhideWhenUsed/>
    <w:rsid w:val="000542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42E1"/>
  </w:style>
  <w:style w:type="paragraph" w:styleId="Footer">
    <w:name w:val="footer"/>
    <w:basedOn w:val="Normal"/>
    <w:link w:val="FooterChar"/>
    <w:uiPriority w:val="99"/>
    <w:unhideWhenUsed/>
    <w:rsid w:val="000542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42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79319">
      <w:bodyDiv w:val="1"/>
      <w:marLeft w:val="0"/>
      <w:marRight w:val="0"/>
      <w:marTop w:val="0"/>
      <w:marBottom w:val="0"/>
      <w:divBdr>
        <w:top w:val="none" w:sz="0" w:space="0" w:color="auto"/>
        <w:left w:val="none" w:sz="0" w:space="0" w:color="auto"/>
        <w:bottom w:val="none" w:sz="0" w:space="0" w:color="auto"/>
        <w:right w:val="none" w:sz="0" w:space="0" w:color="auto"/>
      </w:divBdr>
      <w:divsChild>
        <w:div w:id="156770388">
          <w:marLeft w:val="0"/>
          <w:marRight w:val="0"/>
          <w:marTop w:val="0"/>
          <w:marBottom w:val="0"/>
          <w:divBdr>
            <w:top w:val="none" w:sz="0" w:space="0" w:color="auto"/>
            <w:left w:val="none" w:sz="0" w:space="0" w:color="auto"/>
            <w:bottom w:val="none" w:sz="0" w:space="0" w:color="auto"/>
            <w:right w:val="none" w:sz="0" w:space="0" w:color="auto"/>
          </w:divBdr>
          <w:divsChild>
            <w:div w:id="208759732">
              <w:marLeft w:val="0"/>
              <w:marRight w:val="0"/>
              <w:marTop w:val="0"/>
              <w:marBottom w:val="0"/>
              <w:divBdr>
                <w:top w:val="none" w:sz="0" w:space="0" w:color="auto"/>
                <w:left w:val="none" w:sz="0" w:space="0" w:color="auto"/>
                <w:bottom w:val="none" w:sz="0" w:space="0" w:color="auto"/>
                <w:right w:val="none" w:sz="0" w:space="0" w:color="auto"/>
              </w:divBdr>
              <w:divsChild>
                <w:div w:id="173743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766142">
          <w:marLeft w:val="0"/>
          <w:marRight w:val="0"/>
          <w:marTop w:val="0"/>
          <w:marBottom w:val="0"/>
          <w:divBdr>
            <w:top w:val="none" w:sz="0" w:space="0" w:color="auto"/>
            <w:left w:val="none" w:sz="0" w:space="0" w:color="auto"/>
            <w:bottom w:val="none" w:sz="0" w:space="0" w:color="auto"/>
            <w:right w:val="none" w:sz="0" w:space="0" w:color="auto"/>
          </w:divBdr>
          <w:divsChild>
            <w:div w:id="1558590044">
              <w:marLeft w:val="0"/>
              <w:marRight w:val="0"/>
              <w:marTop w:val="0"/>
              <w:marBottom w:val="0"/>
              <w:divBdr>
                <w:top w:val="none" w:sz="0" w:space="0" w:color="auto"/>
                <w:left w:val="none" w:sz="0" w:space="0" w:color="auto"/>
                <w:bottom w:val="none" w:sz="0" w:space="0" w:color="auto"/>
                <w:right w:val="none" w:sz="0" w:space="0" w:color="auto"/>
              </w:divBdr>
              <w:divsChild>
                <w:div w:id="15123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455428">
          <w:marLeft w:val="0"/>
          <w:marRight w:val="0"/>
          <w:marTop w:val="0"/>
          <w:marBottom w:val="0"/>
          <w:divBdr>
            <w:top w:val="none" w:sz="0" w:space="0" w:color="auto"/>
            <w:left w:val="none" w:sz="0" w:space="0" w:color="auto"/>
            <w:bottom w:val="none" w:sz="0" w:space="0" w:color="auto"/>
            <w:right w:val="none" w:sz="0" w:space="0" w:color="auto"/>
          </w:divBdr>
          <w:divsChild>
            <w:div w:id="1982420491">
              <w:marLeft w:val="0"/>
              <w:marRight w:val="0"/>
              <w:marTop w:val="0"/>
              <w:marBottom w:val="0"/>
              <w:divBdr>
                <w:top w:val="none" w:sz="0" w:space="0" w:color="auto"/>
                <w:left w:val="none" w:sz="0" w:space="0" w:color="auto"/>
                <w:bottom w:val="none" w:sz="0" w:space="0" w:color="auto"/>
                <w:right w:val="none" w:sz="0" w:space="0" w:color="auto"/>
              </w:divBdr>
              <w:divsChild>
                <w:div w:id="1025205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454691">
          <w:marLeft w:val="0"/>
          <w:marRight w:val="0"/>
          <w:marTop w:val="0"/>
          <w:marBottom w:val="0"/>
          <w:divBdr>
            <w:top w:val="none" w:sz="0" w:space="0" w:color="auto"/>
            <w:left w:val="none" w:sz="0" w:space="0" w:color="auto"/>
            <w:bottom w:val="none" w:sz="0" w:space="0" w:color="auto"/>
            <w:right w:val="none" w:sz="0" w:space="0" w:color="auto"/>
          </w:divBdr>
          <w:divsChild>
            <w:div w:id="226305928">
              <w:marLeft w:val="0"/>
              <w:marRight w:val="0"/>
              <w:marTop w:val="0"/>
              <w:marBottom w:val="0"/>
              <w:divBdr>
                <w:top w:val="none" w:sz="0" w:space="0" w:color="auto"/>
                <w:left w:val="none" w:sz="0" w:space="0" w:color="auto"/>
                <w:bottom w:val="none" w:sz="0" w:space="0" w:color="auto"/>
                <w:right w:val="none" w:sz="0" w:space="0" w:color="auto"/>
              </w:divBdr>
              <w:divsChild>
                <w:div w:id="1392576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988081">
          <w:marLeft w:val="0"/>
          <w:marRight w:val="0"/>
          <w:marTop w:val="0"/>
          <w:marBottom w:val="0"/>
          <w:divBdr>
            <w:top w:val="none" w:sz="0" w:space="0" w:color="auto"/>
            <w:left w:val="none" w:sz="0" w:space="0" w:color="auto"/>
            <w:bottom w:val="none" w:sz="0" w:space="0" w:color="auto"/>
            <w:right w:val="none" w:sz="0" w:space="0" w:color="auto"/>
          </w:divBdr>
          <w:divsChild>
            <w:div w:id="721641374">
              <w:marLeft w:val="0"/>
              <w:marRight w:val="0"/>
              <w:marTop w:val="0"/>
              <w:marBottom w:val="0"/>
              <w:divBdr>
                <w:top w:val="none" w:sz="0" w:space="0" w:color="auto"/>
                <w:left w:val="none" w:sz="0" w:space="0" w:color="auto"/>
                <w:bottom w:val="none" w:sz="0" w:space="0" w:color="auto"/>
                <w:right w:val="none" w:sz="0" w:space="0" w:color="auto"/>
              </w:divBdr>
              <w:divsChild>
                <w:div w:id="38760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25194">
          <w:marLeft w:val="0"/>
          <w:marRight w:val="0"/>
          <w:marTop w:val="0"/>
          <w:marBottom w:val="0"/>
          <w:divBdr>
            <w:top w:val="none" w:sz="0" w:space="0" w:color="auto"/>
            <w:left w:val="none" w:sz="0" w:space="0" w:color="auto"/>
            <w:bottom w:val="none" w:sz="0" w:space="0" w:color="auto"/>
            <w:right w:val="none" w:sz="0" w:space="0" w:color="auto"/>
          </w:divBdr>
          <w:divsChild>
            <w:div w:id="781462417">
              <w:marLeft w:val="0"/>
              <w:marRight w:val="0"/>
              <w:marTop w:val="0"/>
              <w:marBottom w:val="0"/>
              <w:divBdr>
                <w:top w:val="none" w:sz="0" w:space="0" w:color="auto"/>
                <w:left w:val="none" w:sz="0" w:space="0" w:color="auto"/>
                <w:bottom w:val="none" w:sz="0" w:space="0" w:color="auto"/>
                <w:right w:val="none" w:sz="0" w:space="0" w:color="auto"/>
              </w:divBdr>
              <w:divsChild>
                <w:div w:id="90927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907">
          <w:marLeft w:val="0"/>
          <w:marRight w:val="0"/>
          <w:marTop w:val="0"/>
          <w:marBottom w:val="0"/>
          <w:divBdr>
            <w:top w:val="none" w:sz="0" w:space="0" w:color="auto"/>
            <w:left w:val="none" w:sz="0" w:space="0" w:color="auto"/>
            <w:bottom w:val="none" w:sz="0" w:space="0" w:color="auto"/>
            <w:right w:val="none" w:sz="0" w:space="0" w:color="auto"/>
          </w:divBdr>
          <w:divsChild>
            <w:div w:id="454373385">
              <w:marLeft w:val="0"/>
              <w:marRight w:val="0"/>
              <w:marTop w:val="0"/>
              <w:marBottom w:val="0"/>
              <w:divBdr>
                <w:top w:val="none" w:sz="0" w:space="0" w:color="auto"/>
                <w:left w:val="none" w:sz="0" w:space="0" w:color="auto"/>
                <w:bottom w:val="none" w:sz="0" w:space="0" w:color="auto"/>
                <w:right w:val="none" w:sz="0" w:space="0" w:color="auto"/>
              </w:divBdr>
              <w:divsChild>
                <w:div w:id="76311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300227">
          <w:marLeft w:val="0"/>
          <w:marRight w:val="0"/>
          <w:marTop w:val="0"/>
          <w:marBottom w:val="0"/>
          <w:divBdr>
            <w:top w:val="none" w:sz="0" w:space="0" w:color="auto"/>
            <w:left w:val="none" w:sz="0" w:space="0" w:color="auto"/>
            <w:bottom w:val="none" w:sz="0" w:space="0" w:color="auto"/>
            <w:right w:val="none" w:sz="0" w:space="0" w:color="auto"/>
          </w:divBdr>
          <w:divsChild>
            <w:div w:id="411901016">
              <w:marLeft w:val="0"/>
              <w:marRight w:val="0"/>
              <w:marTop w:val="0"/>
              <w:marBottom w:val="0"/>
              <w:divBdr>
                <w:top w:val="none" w:sz="0" w:space="0" w:color="auto"/>
                <w:left w:val="none" w:sz="0" w:space="0" w:color="auto"/>
                <w:bottom w:val="none" w:sz="0" w:space="0" w:color="auto"/>
                <w:right w:val="none" w:sz="0" w:space="0" w:color="auto"/>
              </w:divBdr>
              <w:divsChild>
                <w:div w:id="57744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631163">
      <w:bodyDiv w:val="1"/>
      <w:marLeft w:val="0"/>
      <w:marRight w:val="0"/>
      <w:marTop w:val="0"/>
      <w:marBottom w:val="0"/>
      <w:divBdr>
        <w:top w:val="none" w:sz="0" w:space="0" w:color="auto"/>
        <w:left w:val="none" w:sz="0" w:space="0" w:color="auto"/>
        <w:bottom w:val="none" w:sz="0" w:space="0" w:color="auto"/>
        <w:right w:val="none" w:sz="0" w:space="0" w:color="auto"/>
      </w:divBdr>
      <w:divsChild>
        <w:div w:id="431826360">
          <w:marLeft w:val="0"/>
          <w:marRight w:val="0"/>
          <w:marTop w:val="0"/>
          <w:marBottom w:val="0"/>
          <w:divBdr>
            <w:top w:val="none" w:sz="0" w:space="0" w:color="auto"/>
            <w:left w:val="none" w:sz="0" w:space="0" w:color="auto"/>
            <w:bottom w:val="none" w:sz="0" w:space="0" w:color="auto"/>
            <w:right w:val="none" w:sz="0" w:space="0" w:color="auto"/>
          </w:divBdr>
          <w:divsChild>
            <w:div w:id="1944147901">
              <w:marLeft w:val="0"/>
              <w:marRight w:val="0"/>
              <w:marTop w:val="0"/>
              <w:marBottom w:val="0"/>
              <w:divBdr>
                <w:top w:val="none" w:sz="0" w:space="0" w:color="auto"/>
                <w:left w:val="none" w:sz="0" w:space="0" w:color="auto"/>
                <w:bottom w:val="none" w:sz="0" w:space="0" w:color="auto"/>
                <w:right w:val="none" w:sz="0" w:space="0" w:color="auto"/>
              </w:divBdr>
              <w:divsChild>
                <w:div w:id="131715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277512">
          <w:marLeft w:val="0"/>
          <w:marRight w:val="0"/>
          <w:marTop w:val="0"/>
          <w:marBottom w:val="0"/>
          <w:divBdr>
            <w:top w:val="none" w:sz="0" w:space="0" w:color="auto"/>
            <w:left w:val="none" w:sz="0" w:space="0" w:color="auto"/>
            <w:bottom w:val="none" w:sz="0" w:space="0" w:color="auto"/>
            <w:right w:val="none" w:sz="0" w:space="0" w:color="auto"/>
          </w:divBdr>
          <w:divsChild>
            <w:div w:id="351610890">
              <w:marLeft w:val="0"/>
              <w:marRight w:val="0"/>
              <w:marTop w:val="0"/>
              <w:marBottom w:val="0"/>
              <w:divBdr>
                <w:top w:val="none" w:sz="0" w:space="0" w:color="auto"/>
                <w:left w:val="none" w:sz="0" w:space="0" w:color="auto"/>
                <w:bottom w:val="none" w:sz="0" w:space="0" w:color="auto"/>
                <w:right w:val="none" w:sz="0" w:space="0" w:color="auto"/>
              </w:divBdr>
              <w:divsChild>
                <w:div w:id="87870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783008">
          <w:marLeft w:val="0"/>
          <w:marRight w:val="0"/>
          <w:marTop w:val="0"/>
          <w:marBottom w:val="0"/>
          <w:divBdr>
            <w:top w:val="none" w:sz="0" w:space="0" w:color="auto"/>
            <w:left w:val="none" w:sz="0" w:space="0" w:color="auto"/>
            <w:bottom w:val="none" w:sz="0" w:space="0" w:color="auto"/>
            <w:right w:val="none" w:sz="0" w:space="0" w:color="auto"/>
          </w:divBdr>
          <w:divsChild>
            <w:div w:id="817693978">
              <w:marLeft w:val="0"/>
              <w:marRight w:val="0"/>
              <w:marTop w:val="0"/>
              <w:marBottom w:val="0"/>
              <w:divBdr>
                <w:top w:val="none" w:sz="0" w:space="0" w:color="auto"/>
                <w:left w:val="none" w:sz="0" w:space="0" w:color="auto"/>
                <w:bottom w:val="none" w:sz="0" w:space="0" w:color="auto"/>
                <w:right w:val="none" w:sz="0" w:space="0" w:color="auto"/>
              </w:divBdr>
              <w:divsChild>
                <w:div w:id="10101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960613">
          <w:marLeft w:val="0"/>
          <w:marRight w:val="0"/>
          <w:marTop w:val="0"/>
          <w:marBottom w:val="0"/>
          <w:divBdr>
            <w:top w:val="none" w:sz="0" w:space="0" w:color="auto"/>
            <w:left w:val="none" w:sz="0" w:space="0" w:color="auto"/>
            <w:bottom w:val="none" w:sz="0" w:space="0" w:color="auto"/>
            <w:right w:val="none" w:sz="0" w:space="0" w:color="auto"/>
          </w:divBdr>
          <w:divsChild>
            <w:div w:id="1678264811">
              <w:marLeft w:val="0"/>
              <w:marRight w:val="0"/>
              <w:marTop w:val="0"/>
              <w:marBottom w:val="0"/>
              <w:divBdr>
                <w:top w:val="none" w:sz="0" w:space="0" w:color="auto"/>
                <w:left w:val="none" w:sz="0" w:space="0" w:color="auto"/>
                <w:bottom w:val="none" w:sz="0" w:space="0" w:color="auto"/>
                <w:right w:val="none" w:sz="0" w:space="0" w:color="auto"/>
              </w:divBdr>
              <w:divsChild>
                <w:div w:id="202481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542176">
          <w:marLeft w:val="0"/>
          <w:marRight w:val="0"/>
          <w:marTop w:val="0"/>
          <w:marBottom w:val="0"/>
          <w:divBdr>
            <w:top w:val="none" w:sz="0" w:space="0" w:color="auto"/>
            <w:left w:val="none" w:sz="0" w:space="0" w:color="auto"/>
            <w:bottom w:val="none" w:sz="0" w:space="0" w:color="auto"/>
            <w:right w:val="none" w:sz="0" w:space="0" w:color="auto"/>
          </w:divBdr>
          <w:divsChild>
            <w:div w:id="1468426290">
              <w:marLeft w:val="0"/>
              <w:marRight w:val="0"/>
              <w:marTop w:val="0"/>
              <w:marBottom w:val="0"/>
              <w:divBdr>
                <w:top w:val="none" w:sz="0" w:space="0" w:color="auto"/>
                <w:left w:val="none" w:sz="0" w:space="0" w:color="auto"/>
                <w:bottom w:val="none" w:sz="0" w:space="0" w:color="auto"/>
                <w:right w:val="none" w:sz="0" w:space="0" w:color="auto"/>
              </w:divBdr>
              <w:divsChild>
                <w:div w:id="46959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gency.pennie.com/assisters/" TargetMode="Externa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yperlink" Target="https://www.insurance.pa.gov/Licensees/Navigators/Pages/default.aspx"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tatus xmlns="003a05e1-bb9b-4412-803d-c945dedba2a2">Document Needed</Status>
    <QA_x0020_Due xmlns="003a05e1-bb9b-4412-803d-c945dedba2a2" xsi:nil="true"/>
    <Annual_x0020_Review_x0020_Due xmlns="003a05e1-bb9b-4412-803d-c945dedba2a2" xsi:nil="true"/>
    <Approval_x0020_Due xmlns="003a05e1-bb9b-4412-803d-c945dedba2a2" xsi:nil="true"/>
    <Business_x0020_Area xmlns="003a05e1-bb9b-4412-803d-c945dedba2a2" xsi:nil="true"/>
    <TaxCatchAll xmlns="ba2a7597-cc2c-4bf4-9aa6-5d08d33279a4" xsi:nil="true"/>
    <lcf76f155ced4ddcb4097134ff3c332f xmlns="003a05e1-bb9b-4412-803d-c945dedba2a2">
      <Terms xmlns="http://schemas.microsoft.com/office/infopath/2007/PartnerControls"/>
    </lcf76f155ced4ddcb4097134ff3c332f>
    <Author0 xmlns="003a05e1-bb9b-4412-803d-c945dedba2a2">
      <UserInfo>
        <DisplayName/>
        <AccountId xsi:nil="true"/>
        <AccountType/>
      </UserInfo>
    </Author0>
    <QA_x0020_Analyst xmlns="003a05e1-bb9b-4412-803d-c945dedba2a2">
      <UserInfo>
        <DisplayName/>
        <AccountId xsi:nil="true"/>
        <AccountType/>
      </UserInfo>
    </QA_x0020_Analyst>
    <Approver xmlns="003a05e1-bb9b-4412-803d-c945dedba2a2">
      <UserInfo>
        <DisplayName/>
        <AccountId xsi:nil="true"/>
        <AccountType/>
      </UserInfo>
    </Approv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71CF96CC2A09E4C899F4E244F908D07" ma:contentTypeVersion="40" ma:contentTypeDescription="Create a new document." ma:contentTypeScope="" ma:versionID="676d173fff0dc203cf658d194b113e5f">
  <xsd:schema xmlns:xsd="http://www.w3.org/2001/XMLSchema" xmlns:xs="http://www.w3.org/2001/XMLSchema" xmlns:p="http://schemas.microsoft.com/office/2006/metadata/properties" xmlns:ns2="003a05e1-bb9b-4412-803d-c945dedba2a2" xmlns:ns3="ba2a7597-cc2c-4bf4-9aa6-5d08d33279a4" targetNamespace="http://schemas.microsoft.com/office/2006/metadata/properties" ma:root="true" ma:fieldsID="ba46227c203b763840700b4b79d57915" ns2:_="" ns3:_="">
    <xsd:import namespace="003a05e1-bb9b-4412-803d-c945dedba2a2"/>
    <xsd:import namespace="ba2a7597-cc2c-4bf4-9aa6-5d08d33279a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Author0" minOccurs="0"/>
                <xsd:element ref="ns2:Business_x0020_Area" minOccurs="0"/>
                <xsd:element ref="ns2:Status" minOccurs="0"/>
                <xsd:element ref="ns2:QA_x0020_Analyst" minOccurs="0"/>
                <xsd:element ref="ns2:QA_x0020_Due" minOccurs="0"/>
                <xsd:element ref="ns2:Approver" minOccurs="0"/>
                <xsd:element ref="ns2:Approval_x0020_Due" minOccurs="0"/>
                <xsd:element ref="ns2:Annual_x0020_Review_x0020_Due"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3a05e1-bb9b-4412-803d-c945dedba2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Author0" ma:index="19" nillable="true" ma:displayName="Author" ma:list="UserInfo" ma:SharePointGroup="0" ma:internalName="Author0"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Business_x0020_Area" ma:index="20" nillable="true" ma:displayName="Business Area" ma:format="Dropdown" ma:internalName="Business_x0020_Area">
      <xsd:simpleType>
        <xsd:restriction base="dms:Choice">
          <xsd:enumeration value="BA"/>
          <xsd:enumeration value="Data and Reporting"/>
          <xsd:enumeration value="EDI/Recon"/>
          <xsd:enumeration value="General"/>
          <xsd:enumeration value="Prod Support"/>
          <xsd:enumeration value="RPA"/>
          <xsd:enumeration value="Salesforce"/>
          <xsd:enumeration value="Testing"/>
          <xsd:enumeration value="Infosec"/>
        </xsd:restriction>
      </xsd:simpleType>
    </xsd:element>
    <xsd:element name="Status" ma:index="21" nillable="true" ma:displayName="Status" ma:default="Document Needed" ma:format="Dropdown" ma:internalName="Status">
      <xsd:simpleType>
        <xsd:restriction base="dms:Choice">
          <xsd:enumeration value="Document Needed"/>
          <xsd:enumeration value="In Process"/>
          <xsd:enumeration value="Ready for QA"/>
          <xsd:enumeration value="Ready for Approval"/>
          <xsd:enumeration value="Approved"/>
          <xsd:enumeration value="Needs Annual Review"/>
        </xsd:restriction>
      </xsd:simpleType>
    </xsd:element>
    <xsd:element name="QA_x0020_Analyst" ma:index="22" nillable="true" ma:displayName="QA Analyst" ma:list="UserInfo" ma:SharePointGroup="0" ma:internalName="QA_x0020_Analyst"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QA_x0020_Due" ma:index="23" nillable="true" ma:displayName="QA Due" ma:format="DateOnly" ma:internalName="QA_x0020_Due">
      <xsd:simpleType>
        <xsd:restriction base="dms:DateTime"/>
      </xsd:simpleType>
    </xsd:element>
    <xsd:element name="Approver" ma:index="24" nillable="true" ma:displayName="Approver" ma:list="UserInfo" ma:SharePointGroup="0" ma:internalName="Approv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pproval_x0020_Due" ma:index="25" nillable="true" ma:displayName="Approval Due" ma:format="DateOnly" ma:internalName="Approval_x0020_Due">
      <xsd:simpleType>
        <xsd:restriction base="dms:DateTime"/>
      </xsd:simpleType>
    </xsd:element>
    <xsd:element name="Annual_x0020_Review_x0020_Due" ma:index="26" nillable="true" ma:displayName="Annual Review Due" ma:format="DateOnly" ma:internalName="Annual_x0020_Review_x0020_Due">
      <xsd:simpleType>
        <xsd:restriction base="dms:DateTime"/>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a2a7597-cc2c-4bf4-9aa6-5d08d33279a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9" nillable="true" ma:displayName="Taxonomy Catch All Column" ma:hidden="true" ma:list="{b7b0acd7-c8c0-4dc7-a731-1b7287b2436a}" ma:internalName="TaxCatchAll" ma:showField="CatchAllData" ma:web="ba2a7597-cc2c-4bf4-9aa6-5d08d33279a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4FFA6CB-3103-4E2C-8522-3352E709BEDE}">
  <ds:schemaRefs>
    <ds:schemaRef ds:uri="http://schemas.microsoft.com/sharepoint/v3/contenttype/forms"/>
  </ds:schemaRefs>
</ds:datastoreItem>
</file>

<file path=customXml/itemProps2.xml><?xml version="1.0" encoding="utf-8"?>
<ds:datastoreItem xmlns:ds="http://schemas.openxmlformats.org/officeDocument/2006/customXml" ds:itemID="{607539B9-5392-4C9A-B051-851834FE6EB5}">
  <ds:schemaRefs>
    <ds:schemaRef ds:uri="http://schemas.microsoft.com/office/2006/metadata/properties"/>
    <ds:schemaRef ds:uri="http://schemas.microsoft.com/office/infopath/2007/PartnerControls"/>
    <ds:schemaRef ds:uri="003a05e1-bb9b-4412-803d-c945dedba2a2"/>
    <ds:schemaRef ds:uri="ba2a7597-cc2c-4bf4-9aa6-5d08d33279a4"/>
  </ds:schemaRefs>
</ds:datastoreItem>
</file>

<file path=customXml/itemProps3.xml><?xml version="1.0" encoding="utf-8"?>
<ds:datastoreItem xmlns:ds="http://schemas.openxmlformats.org/officeDocument/2006/customXml" ds:itemID="{E67CD97A-D599-43BD-9897-10782DD7BB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3a05e1-bb9b-4412-803d-c945dedba2a2"/>
    <ds:schemaRef ds:uri="ba2a7597-cc2c-4bf4-9aa6-5d08d33279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1605</Words>
  <Characters>9154</Characters>
  <Application>Microsoft Office Word</Application>
  <DocSecurity>0</DocSecurity>
  <Lines>76</Lines>
  <Paragraphs>21</Paragraphs>
  <ScaleCrop>false</ScaleCrop>
  <Company/>
  <LinksUpToDate>false</LinksUpToDate>
  <CharactersWithSpaces>10738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Angelo, Charles</dc:creator>
  <cp:keywords/>
  <dc:description/>
  <cp:lastModifiedBy>Zeh, Gwen E</cp:lastModifiedBy>
  <cp:revision>10</cp:revision>
  <dcterms:created xsi:type="dcterms:W3CDTF">2024-03-12T15:27:00Z</dcterms:created>
  <dcterms:modified xsi:type="dcterms:W3CDTF">2024-03-28T20:27:00Z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0x010100871CF96CC2A09E4C899F4E244F908D07</vt:lpwstr>
  </property>
  <property fmtid="{D5CDD505-2E9C-101B-9397-08002B2CF9AE}" pid="3" name="MediaServiceImageTags">
    <vt:lpwstr/>
  </property>
</Properties>
</file>