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4CA974B6"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195F9D">
              <w:rPr>
                <w:rFonts w:ascii="Times New Roman" w:hAnsi="Times New Roman"/>
                <w:b/>
                <w:color w:val="000000"/>
                <w:sz w:val="22"/>
                <w:szCs w:val="22"/>
              </w:rPr>
              <w:t>Troop L, Schuylkill Haven</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5F0C7526"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195F9D">
              <w:rPr>
                <w:rFonts w:ascii="Times New Roman" w:hAnsi="Times New Roman"/>
                <w:b/>
                <w:color w:val="000000"/>
                <w:sz w:val="22"/>
                <w:szCs w:val="22"/>
              </w:rPr>
              <w:t>33</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7BF71DB9"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 xml:space="preserve">Electronic Bid (SRM) - Review the Questions section of your solicitation response to ensure you have responded, as required, to any questions relevant to solicitation addenda issued </w:t>
          </w:r>
          <w:proofErr w:type="gramStart"/>
          <w:r w:rsidR="00D3236D">
            <w:rPr>
              <w:rStyle w:val="Style2"/>
            </w:rPr>
            <w:t>subsequent to</w:t>
          </w:r>
          <w:proofErr w:type="gramEnd"/>
          <w:r w:rsidR="00D3236D">
            <w:rPr>
              <w:rStyle w:val="Style2"/>
            </w:rPr>
            <w:t xml:space="preserve">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95F9D"/>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169</Words>
  <Characters>968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