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6D3D" w:rsidRPr="00764264" w:rsidRDefault="00AF6D3D" w:rsidP="00764264">
      <w:pPr>
        <w:jc w:val="center"/>
        <w:rPr>
          <w:b/>
          <w:sz w:val="24"/>
        </w:rPr>
      </w:pPr>
    </w:p>
    <w:p w:rsidR="00AF6D3D" w:rsidRPr="00764264" w:rsidRDefault="00AF6D3D" w:rsidP="00764264">
      <w:pPr>
        <w:jc w:val="center"/>
        <w:rPr>
          <w:b/>
          <w:sz w:val="24"/>
        </w:rPr>
      </w:pPr>
    </w:p>
    <w:p w:rsidR="00AF6D3D" w:rsidRPr="00764264" w:rsidRDefault="00AF6D3D" w:rsidP="00764264">
      <w:pPr>
        <w:jc w:val="center"/>
        <w:rPr>
          <w:b/>
          <w:sz w:val="24"/>
        </w:rPr>
      </w:pPr>
    </w:p>
    <w:p w:rsidR="003B1D2C" w:rsidRPr="00C875E8" w:rsidRDefault="003B1D2C" w:rsidP="00764264">
      <w:pPr>
        <w:autoSpaceDE w:val="0"/>
        <w:autoSpaceDN w:val="0"/>
        <w:adjustRightInd w:val="0"/>
        <w:jc w:val="center"/>
        <w:rPr>
          <w:b/>
          <w:bCs/>
          <w:color w:val="000000"/>
          <w:sz w:val="24"/>
        </w:rPr>
      </w:pPr>
      <w:r w:rsidRPr="00C875E8">
        <w:rPr>
          <w:b/>
          <w:bCs/>
          <w:color w:val="000000"/>
          <w:sz w:val="24"/>
        </w:rPr>
        <w:t>Request for Proposal</w:t>
      </w:r>
    </w:p>
    <w:p w:rsidR="003B1D2C" w:rsidRPr="00C875E8" w:rsidRDefault="003B1D2C" w:rsidP="00764264">
      <w:pPr>
        <w:autoSpaceDE w:val="0"/>
        <w:autoSpaceDN w:val="0"/>
        <w:adjustRightInd w:val="0"/>
        <w:jc w:val="center"/>
        <w:rPr>
          <w:b/>
          <w:bCs/>
          <w:color w:val="000000"/>
          <w:sz w:val="24"/>
        </w:rPr>
      </w:pPr>
      <w:r w:rsidRPr="00C875E8">
        <w:rPr>
          <w:b/>
          <w:bCs/>
          <w:color w:val="000000"/>
          <w:sz w:val="24"/>
        </w:rPr>
        <w:t>RFP # 6100022698</w:t>
      </w:r>
    </w:p>
    <w:p w:rsidR="003B1D2C" w:rsidRPr="00C875E8" w:rsidRDefault="003B1D2C" w:rsidP="00764264">
      <w:pPr>
        <w:autoSpaceDE w:val="0"/>
        <w:autoSpaceDN w:val="0"/>
        <w:adjustRightInd w:val="0"/>
        <w:jc w:val="center"/>
        <w:rPr>
          <w:b/>
          <w:bCs/>
          <w:color w:val="000000"/>
          <w:sz w:val="24"/>
        </w:rPr>
      </w:pPr>
    </w:p>
    <w:p w:rsidR="003B1D2C" w:rsidRPr="00C875E8" w:rsidRDefault="003B1D2C" w:rsidP="00764264">
      <w:pPr>
        <w:rPr>
          <w:color w:val="000000"/>
          <w:sz w:val="24"/>
        </w:rPr>
      </w:pPr>
    </w:p>
    <w:p w:rsidR="003B1D2C" w:rsidRPr="00C875E8" w:rsidRDefault="00C802C1" w:rsidP="00764264">
      <w:pPr>
        <w:tabs>
          <w:tab w:val="left" w:pos="7531"/>
        </w:tabs>
        <w:rPr>
          <w:color w:val="000000"/>
          <w:sz w:val="24"/>
        </w:rPr>
      </w:pPr>
      <w:r w:rsidRPr="00C875E8">
        <w:rPr>
          <w:color w:val="000000"/>
          <w:sz w:val="24"/>
        </w:rPr>
        <w:tab/>
      </w:r>
    </w:p>
    <w:p w:rsidR="003B1D2C" w:rsidRPr="00C875E8" w:rsidRDefault="003B1D2C" w:rsidP="00764264">
      <w:pPr>
        <w:rPr>
          <w:color w:val="000000"/>
          <w:sz w:val="24"/>
        </w:rPr>
      </w:pPr>
    </w:p>
    <w:p w:rsidR="003B1D2C" w:rsidRPr="00C875E8" w:rsidRDefault="003B1D2C" w:rsidP="00764264">
      <w:pPr>
        <w:rPr>
          <w:color w:val="000000"/>
          <w:sz w:val="24"/>
        </w:rPr>
      </w:pPr>
    </w:p>
    <w:p w:rsidR="003B1D2C" w:rsidRPr="00C875E8" w:rsidRDefault="003B1D2C" w:rsidP="00764264">
      <w:pPr>
        <w:rPr>
          <w:color w:val="000000"/>
          <w:sz w:val="24"/>
        </w:rPr>
      </w:pPr>
    </w:p>
    <w:p w:rsidR="00984A3D" w:rsidRPr="00B62C0A" w:rsidRDefault="00984A3D" w:rsidP="00984A3D">
      <w:pPr>
        <w:autoSpaceDE w:val="0"/>
        <w:autoSpaceDN w:val="0"/>
        <w:adjustRightInd w:val="0"/>
        <w:jc w:val="center"/>
        <w:rPr>
          <w:b/>
          <w:bCs/>
          <w:color w:val="000000"/>
          <w:sz w:val="24"/>
        </w:rPr>
      </w:pPr>
      <w:r w:rsidRPr="00B62C0A">
        <w:rPr>
          <w:b/>
          <w:bCs/>
          <w:color w:val="000000"/>
          <w:sz w:val="24"/>
        </w:rPr>
        <w:t>Commonwealth of Pennsylvania</w:t>
      </w:r>
    </w:p>
    <w:p w:rsidR="00984A3D" w:rsidRPr="00B62C0A" w:rsidRDefault="00984A3D" w:rsidP="00984A3D">
      <w:pPr>
        <w:autoSpaceDE w:val="0"/>
        <w:autoSpaceDN w:val="0"/>
        <w:adjustRightInd w:val="0"/>
        <w:jc w:val="center"/>
        <w:rPr>
          <w:b/>
          <w:bCs/>
          <w:color w:val="000000"/>
          <w:sz w:val="24"/>
        </w:rPr>
      </w:pPr>
      <w:r w:rsidRPr="00B62C0A">
        <w:rPr>
          <w:b/>
          <w:bCs/>
          <w:color w:val="000000"/>
          <w:sz w:val="24"/>
        </w:rPr>
        <w:t>Office of Administration</w:t>
      </w:r>
    </w:p>
    <w:p w:rsidR="00984A3D" w:rsidRPr="00B62C0A" w:rsidRDefault="00984A3D" w:rsidP="00984A3D">
      <w:pPr>
        <w:jc w:val="center"/>
        <w:rPr>
          <w:b/>
          <w:bCs/>
          <w:sz w:val="24"/>
        </w:rPr>
      </w:pPr>
      <w:r w:rsidRPr="00B62C0A">
        <w:rPr>
          <w:b/>
          <w:bCs/>
          <w:sz w:val="24"/>
        </w:rPr>
        <w:t>Office for Information Technology</w:t>
      </w:r>
    </w:p>
    <w:p w:rsidR="00984A3D" w:rsidRPr="00B62C0A" w:rsidRDefault="00984A3D" w:rsidP="00984A3D">
      <w:pPr>
        <w:autoSpaceDE w:val="0"/>
        <w:autoSpaceDN w:val="0"/>
        <w:adjustRightInd w:val="0"/>
        <w:jc w:val="center"/>
        <w:rPr>
          <w:b/>
          <w:bCs/>
          <w:color w:val="000000"/>
          <w:sz w:val="24"/>
        </w:rPr>
      </w:pPr>
      <w:r w:rsidRPr="00B62C0A">
        <w:rPr>
          <w:b/>
          <w:bCs/>
          <w:color w:val="000000"/>
          <w:sz w:val="24"/>
        </w:rPr>
        <w:t>Data Center Computing Services</w:t>
      </w:r>
    </w:p>
    <w:p w:rsidR="003B1D2C" w:rsidRPr="00C875E8" w:rsidRDefault="003B1D2C" w:rsidP="00764264">
      <w:pPr>
        <w:jc w:val="center"/>
        <w:rPr>
          <w:b/>
          <w:sz w:val="24"/>
        </w:rPr>
      </w:pPr>
    </w:p>
    <w:p w:rsidR="003B1D2C" w:rsidRPr="00C875E8" w:rsidRDefault="00B50DFA" w:rsidP="00764264">
      <w:pPr>
        <w:jc w:val="center"/>
        <w:rPr>
          <w:b/>
          <w:sz w:val="24"/>
        </w:rPr>
      </w:pPr>
      <w:r w:rsidRPr="00C875E8">
        <w:rPr>
          <w:b/>
          <w:sz w:val="24"/>
        </w:rPr>
        <w:t xml:space="preserve">Schedule </w:t>
      </w:r>
      <w:r w:rsidR="00963B02" w:rsidRPr="00C875E8">
        <w:rPr>
          <w:b/>
          <w:sz w:val="24"/>
        </w:rPr>
        <w:t>A</w:t>
      </w:r>
    </w:p>
    <w:p w:rsidR="003B1D2C" w:rsidRPr="00C875E8" w:rsidRDefault="00963B02" w:rsidP="00764264">
      <w:pPr>
        <w:jc w:val="center"/>
        <w:rPr>
          <w:b/>
          <w:sz w:val="24"/>
        </w:rPr>
      </w:pPr>
      <w:r w:rsidRPr="00C875E8">
        <w:rPr>
          <w:b/>
          <w:sz w:val="24"/>
        </w:rPr>
        <w:t>DEFINED TERMS</w:t>
      </w:r>
    </w:p>
    <w:p w:rsidR="00AF6D3D" w:rsidRPr="00C875E8" w:rsidRDefault="00AF6D3D" w:rsidP="00764264">
      <w:pPr>
        <w:jc w:val="center"/>
        <w:rPr>
          <w:b/>
          <w:sz w:val="24"/>
        </w:rPr>
        <w:sectPr w:rsidR="00AF6D3D" w:rsidRPr="00C875E8" w:rsidSect="002A1AA2">
          <w:headerReference w:type="even" r:id="rId7"/>
          <w:headerReference w:type="default" r:id="rId8"/>
          <w:footerReference w:type="even" r:id="rId9"/>
          <w:footerReference w:type="default" r:id="rId10"/>
          <w:headerReference w:type="first" r:id="rId11"/>
          <w:footerReference w:type="first" r:id="rId12"/>
          <w:pgSz w:w="12240" w:h="15840" w:code="1"/>
          <w:pgMar w:top="720" w:right="1584" w:bottom="720" w:left="1728" w:header="360" w:footer="360" w:gutter="0"/>
          <w:cols w:space="720"/>
          <w:docGrid w:linePitch="360"/>
        </w:sectPr>
      </w:pPr>
    </w:p>
    <w:p w:rsidR="005C089B" w:rsidRPr="00C875E8" w:rsidRDefault="005C089B" w:rsidP="00764264">
      <w:pPr>
        <w:rPr>
          <w:b/>
          <w:sz w:val="24"/>
        </w:rPr>
      </w:pPr>
      <w:r w:rsidRPr="00C875E8">
        <w:rPr>
          <w:b/>
          <w:sz w:val="24"/>
        </w:rPr>
        <w:lastRenderedPageBreak/>
        <w:t>Table of Contents</w:t>
      </w:r>
    </w:p>
    <w:p w:rsidR="008B087B" w:rsidRPr="00C875E8" w:rsidRDefault="009E698D" w:rsidP="00764264">
      <w:pPr>
        <w:pStyle w:val="TOC1"/>
        <w:tabs>
          <w:tab w:val="right" w:leader="dot" w:pos="9350"/>
        </w:tabs>
        <w:rPr>
          <w:b w:val="0"/>
          <w:caps w:val="0"/>
          <w:noProof/>
          <w:sz w:val="24"/>
        </w:rPr>
      </w:pPr>
      <w:r w:rsidRPr="009E698D">
        <w:rPr>
          <w:sz w:val="24"/>
        </w:rPr>
        <w:fldChar w:fldCharType="begin"/>
      </w:r>
      <w:r w:rsidR="005C089B" w:rsidRPr="00C875E8">
        <w:rPr>
          <w:sz w:val="24"/>
        </w:rPr>
        <w:instrText xml:space="preserve"> TOC \o "1-3" \h \z \u </w:instrText>
      </w:r>
      <w:r w:rsidRPr="009E698D">
        <w:rPr>
          <w:sz w:val="24"/>
        </w:rPr>
        <w:fldChar w:fldCharType="separate"/>
      </w:r>
      <w:hyperlink w:anchor="_Toc340751357" w:history="1">
        <w:r w:rsidR="008B087B" w:rsidRPr="00C875E8">
          <w:rPr>
            <w:rStyle w:val="Hyperlink"/>
            <w:noProof/>
            <w:sz w:val="24"/>
          </w:rPr>
          <w:t>Abbreviations and Acronyms</w:t>
        </w:r>
        <w:r w:rsidR="008B087B" w:rsidRPr="00C875E8">
          <w:rPr>
            <w:noProof/>
            <w:webHidden/>
            <w:sz w:val="24"/>
          </w:rPr>
          <w:tab/>
        </w:r>
        <w:r w:rsidRPr="00C875E8">
          <w:rPr>
            <w:noProof/>
            <w:webHidden/>
            <w:sz w:val="24"/>
          </w:rPr>
          <w:fldChar w:fldCharType="begin"/>
        </w:r>
        <w:r w:rsidR="008B087B" w:rsidRPr="00C875E8">
          <w:rPr>
            <w:noProof/>
            <w:webHidden/>
            <w:sz w:val="24"/>
          </w:rPr>
          <w:instrText xml:space="preserve"> PAGEREF _Toc340751357 \h </w:instrText>
        </w:r>
        <w:r w:rsidRPr="00C875E8">
          <w:rPr>
            <w:noProof/>
            <w:webHidden/>
            <w:sz w:val="24"/>
          </w:rPr>
        </w:r>
        <w:r w:rsidRPr="00C875E8">
          <w:rPr>
            <w:noProof/>
            <w:webHidden/>
            <w:sz w:val="24"/>
          </w:rPr>
          <w:fldChar w:fldCharType="separate"/>
        </w:r>
        <w:r w:rsidR="002F008D" w:rsidRPr="00C875E8">
          <w:rPr>
            <w:noProof/>
            <w:webHidden/>
            <w:sz w:val="24"/>
          </w:rPr>
          <w:t>3</w:t>
        </w:r>
        <w:r w:rsidRPr="00C875E8">
          <w:rPr>
            <w:noProof/>
            <w:webHidden/>
            <w:sz w:val="24"/>
          </w:rPr>
          <w:fldChar w:fldCharType="end"/>
        </w:r>
      </w:hyperlink>
    </w:p>
    <w:p w:rsidR="008B087B" w:rsidRPr="00C875E8" w:rsidRDefault="009E698D" w:rsidP="00764264">
      <w:pPr>
        <w:pStyle w:val="TOC1"/>
        <w:tabs>
          <w:tab w:val="right" w:leader="dot" w:pos="9350"/>
        </w:tabs>
        <w:rPr>
          <w:b w:val="0"/>
          <w:caps w:val="0"/>
          <w:noProof/>
          <w:sz w:val="24"/>
        </w:rPr>
      </w:pPr>
      <w:hyperlink w:anchor="_Toc340751358" w:history="1">
        <w:r w:rsidR="008B087B" w:rsidRPr="00C875E8">
          <w:rPr>
            <w:rStyle w:val="Hyperlink"/>
            <w:noProof/>
            <w:sz w:val="24"/>
          </w:rPr>
          <w:t>DEFINITIONS</w:t>
        </w:r>
        <w:r w:rsidR="008B087B" w:rsidRPr="00C875E8">
          <w:rPr>
            <w:noProof/>
            <w:webHidden/>
            <w:sz w:val="24"/>
          </w:rPr>
          <w:tab/>
        </w:r>
        <w:r w:rsidRPr="00C875E8">
          <w:rPr>
            <w:noProof/>
            <w:webHidden/>
            <w:sz w:val="24"/>
          </w:rPr>
          <w:fldChar w:fldCharType="begin"/>
        </w:r>
        <w:r w:rsidR="008B087B" w:rsidRPr="00C875E8">
          <w:rPr>
            <w:noProof/>
            <w:webHidden/>
            <w:sz w:val="24"/>
          </w:rPr>
          <w:instrText xml:space="preserve"> PAGEREF _Toc340751358 \h </w:instrText>
        </w:r>
        <w:r w:rsidRPr="00C875E8">
          <w:rPr>
            <w:noProof/>
            <w:webHidden/>
            <w:sz w:val="24"/>
          </w:rPr>
        </w:r>
        <w:r w:rsidRPr="00C875E8">
          <w:rPr>
            <w:noProof/>
            <w:webHidden/>
            <w:sz w:val="24"/>
          </w:rPr>
          <w:fldChar w:fldCharType="separate"/>
        </w:r>
        <w:r w:rsidR="002F008D" w:rsidRPr="00C875E8">
          <w:rPr>
            <w:noProof/>
            <w:webHidden/>
            <w:sz w:val="24"/>
          </w:rPr>
          <w:t>6</w:t>
        </w:r>
        <w:r w:rsidRPr="00C875E8">
          <w:rPr>
            <w:noProof/>
            <w:webHidden/>
            <w:sz w:val="24"/>
          </w:rPr>
          <w:fldChar w:fldCharType="end"/>
        </w:r>
      </w:hyperlink>
    </w:p>
    <w:p w:rsidR="005C089B" w:rsidRPr="00C875E8" w:rsidRDefault="009E698D" w:rsidP="00764264">
      <w:pPr>
        <w:rPr>
          <w:b/>
          <w:sz w:val="24"/>
        </w:rPr>
      </w:pPr>
      <w:r w:rsidRPr="00C875E8">
        <w:rPr>
          <w:sz w:val="24"/>
        </w:rPr>
        <w:fldChar w:fldCharType="end"/>
      </w:r>
    </w:p>
    <w:p w:rsidR="00AF6D3D" w:rsidRPr="00C875E8" w:rsidRDefault="00D412EA" w:rsidP="00764264">
      <w:pPr>
        <w:pStyle w:val="Heading1"/>
        <w:pageBreakBefore/>
        <w:spacing w:before="120" w:after="120"/>
        <w:rPr>
          <w:rFonts w:ascii="Times New Roman" w:hAnsi="Times New Roman"/>
          <w:sz w:val="24"/>
          <w:szCs w:val="24"/>
        </w:rPr>
      </w:pPr>
      <w:bookmarkStart w:id="0" w:name="_Toc340751357"/>
      <w:bookmarkStart w:id="1" w:name="_Toc145992611"/>
      <w:bookmarkStart w:id="2" w:name="_Toc165218574"/>
      <w:r w:rsidRPr="00C875E8">
        <w:rPr>
          <w:rFonts w:ascii="Times New Roman" w:hAnsi="Times New Roman"/>
          <w:sz w:val="24"/>
          <w:szCs w:val="24"/>
        </w:rPr>
        <w:lastRenderedPageBreak/>
        <w:t>Abbreviations and Acronyms</w:t>
      </w:r>
      <w:bookmarkEnd w:id="0"/>
    </w:p>
    <w:tbl>
      <w:tblPr>
        <w:tblW w:w="5000" w:type="pct"/>
        <w:jc w:val="center"/>
        <w:tblBorders>
          <w:top w:val="single" w:sz="4" w:space="0" w:color="000000"/>
          <w:bottom w:val="single" w:sz="4" w:space="0" w:color="000000"/>
          <w:insideH w:val="single" w:sz="4" w:space="0" w:color="000000"/>
          <w:insideV w:val="single" w:sz="4" w:space="0" w:color="000000"/>
        </w:tblBorders>
        <w:tblLayout w:type="fixed"/>
        <w:tblLook w:val="0000"/>
      </w:tblPr>
      <w:tblGrid>
        <w:gridCol w:w="2829"/>
        <w:gridCol w:w="6747"/>
      </w:tblGrid>
      <w:tr w:rsidR="00C875E8" w:rsidRPr="00C875E8" w:rsidTr="000819A9">
        <w:trPr>
          <w:cantSplit/>
          <w:tblHeader/>
          <w:jc w:val="center"/>
        </w:trPr>
        <w:tc>
          <w:tcPr>
            <w:tcW w:w="1477" w:type="pct"/>
            <w:shd w:val="clear" w:color="auto" w:fill="F2F2F2"/>
          </w:tcPr>
          <w:p w:rsidR="00C875E8" w:rsidRPr="00C875E8" w:rsidRDefault="00C875E8" w:rsidP="00764264">
            <w:pPr>
              <w:autoSpaceDE w:val="0"/>
              <w:autoSpaceDN w:val="0"/>
              <w:adjustRightInd w:val="0"/>
              <w:rPr>
                <w:b/>
                <w:color w:val="000000"/>
                <w:sz w:val="24"/>
              </w:rPr>
            </w:pPr>
            <w:bookmarkStart w:id="3" w:name="_Toc141779368"/>
            <w:bookmarkStart w:id="4" w:name="_Toc145992617"/>
            <w:bookmarkStart w:id="5" w:name="_Toc165218576"/>
            <w:bookmarkEnd w:id="1"/>
            <w:bookmarkEnd w:id="2"/>
            <w:r w:rsidRPr="00C875E8">
              <w:rPr>
                <w:b/>
                <w:sz w:val="24"/>
              </w:rPr>
              <w:t>Abbreviation / Acronym</w:t>
            </w:r>
          </w:p>
        </w:tc>
        <w:tc>
          <w:tcPr>
            <w:tcW w:w="3523" w:type="pct"/>
            <w:shd w:val="clear" w:color="auto" w:fill="F2F2F2"/>
          </w:tcPr>
          <w:p w:rsidR="00C875E8" w:rsidRPr="00C875E8" w:rsidRDefault="00C875E8" w:rsidP="00764264">
            <w:pPr>
              <w:pStyle w:val="HeadingTable"/>
              <w:rPr>
                <w:rFonts w:ascii="Times New Roman" w:hAnsi="Times New Roman"/>
                <w:color w:val="000000"/>
                <w:sz w:val="24"/>
              </w:rPr>
            </w:pPr>
            <w:r w:rsidRPr="00C875E8">
              <w:rPr>
                <w:rFonts w:ascii="Times New Roman" w:hAnsi="Times New Roman"/>
                <w:color w:val="000000"/>
                <w:sz w:val="24"/>
              </w:rPr>
              <w:t>Description</w:t>
            </w:r>
          </w:p>
        </w:tc>
      </w:tr>
      <w:tr w:rsidR="00C875E8" w:rsidRPr="00C875E8" w:rsidTr="00072714">
        <w:trPr>
          <w:cantSplit/>
          <w:jc w:val="center"/>
        </w:trPr>
        <w:tc>
          <w:tcPr>
            <w:tcW w:w="1477" w:type="pct"/>
          </w:tcPr>
          <w:p w:rsidR="00C875E8" w:rsidRPr="00C875E8" w:rsidRDefault="00C875E8" w:rsidP="00764264">
            <w:pPr>
              <w:autoSpaceDE w:val="0"/>
              <w:autoSpaceDN w:val="0"/>
              <w:adjustRightInd w:val="0"/>
              <w:rPr>
                <w:sz w:val="24"/>
              </w:rPr>
            </w:pPr>
            <w:r w:rsidRPr="00C875E8">
              <w:rPr>
                <w:color w:val="000000"/>
                <w:sz w:val="24"/>
              </w:rPr>
              <w:t>ADA</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The Americans With Disabilities Act, 28 C.F.R. § 35.101 et seq.</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bCs/>
                <w:sz w:val="24"/>
              </w:rPr>
            </w:pPr>
            <w:r w:rsidRPr="00C875E8">
              <w:rPr>
                <w:sz w:val="24"/>
              </w:rPr>
              <w:t>ADM</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Application Development and Maintenance</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sz w:val="24"/>
              </w:rPr>
            </w:pPr>
            <w:r w:rsidRPr="00C875E8">
              <w:rPr>
                <w:sz w:val="24"/>
              </w:rPr>
              <w:t>BSBO</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Bureau of Small Business Opportunities</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color w:val="000000"/>
                <w:sz w:val="24"/>
              </w:rPr>
            </w:pPr>
            <w:r w:rsidRPr="00C875E8">
              <w:rPr>
                <w:sz w:val="24"/>
              </w:rPr>
              <w:t>BYOD</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Bring Your Own Device</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color w:val="000000"/>
                <w:sz w:val="24"/>
              </w:rPr>
            </w:pPr>
            <w:r w:rsidRPr="00C875E8">
              <w:rPr>
                <w:color w:val="000000"/>
                <w:sz w:val="24"/>
              </w:rPr>
              <w:t>CAB</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Change Advisory Board</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bCs/>
                <w:sz w:val="24"/>
              </w:rPr>
            </w:pPr>
            <w:r w:rsidRPr="00C875E8">
              <w:rPr>
                <w:sz w:val="24"/>
              </w:rPr>
              <w:t>CCPM</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Commonwealth Computing Procedures Manual</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bCs/>
                <w:sz w:val="24"/>
              </w:rPr>
            </w:pPr>
            <w:r w:rsidRPr="00C875E8">
              <w:rPr>
                <w:sz w:val="24"/>
              </w:rPr>
              <w:t>CHRIA</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Criminal History Record Information Act</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bCs/>
                <w:sz w:val="24"/>
              </w:rPr>
            </w:pPr>
            <w:r w:rsidRPr="00C875E8">
              <w:rPr>
                <w:sz w:val="24"/>
              </w:rPr>
              <w:t>CI</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Configuration Item</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bCs/>
                <w:sz w:val="24"/>
              </w:rPr>
            </w:pPr>
            <w:r w:rsidRPr="00C875E8">
              <w:rPr>
                <w:sz w:val="24"/>
              </w:rPr>
              <w:t>CJIS</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Criminal Justice Information Services</w:t>
            </w:r>
          </w:p>
        </w:tc>
      </w:tr>
      <w:tr w:rsidR="00C875E8" w:rsidRPr="00C875E8" w:rsidTr="000819A9">
        <w:trPr>
          <w:cantSplit/>
          <w:jc w:val="center"/>
        </w:trPr>
        <w:tc>
          <w:tcPr>
            <w:tcW w:w="1477" w:type="pct"/>
          </w:tcPr>
          <w:p w:rsidR="00C875E8" w:rsidRPr="00C875E8" w:rsidRDefault="00C875E8" w:rsidP="00764264">
            <w:pPr>
              <w:rPr>
                <w:bCs/>
                <w:sz w:val="24"/>
              </w:rPr>
            </w:pPr>
            <w:r w:rsidRPr="00C875E8">
              <w:rPr>
                <w:sz w:val="24"/>
              </w:rPr>
              <w:t>CMDB</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 xml:space="preserve">Configuration Management Database </w:t>
            </w:r>
          </w:p>
        </w:tc>
      </w:tr>
      <w:tr w:rsidR="00C875E8" w:rsidRPr="00C875E8" w:rsidTr="000819A9">
        <w:trPr>
          <w:cantSplit/>
          <w:jc w:val="center"/>
        </w:trPr>
        <w:tc>
          <w:tcPr>
            <w:tcW w:w="1477" w:type="pct"/>
          </w:tcPr>
          <w:p w:rsidR="00C875E8" w:rsidRPr="00C875E8" w:rsidRDefault="00C875E8" w:rsidP="00764264">
            <w:pPr>
              <w:rPr>
                <w:bCs/>
                <w:sz w:val="24"/>
              </w:rPr>
            </w:pPr>
            <w:r w:rsidRPr="00C875E8">
              <w:rPr>
                <w:sz w:val="24"/>
              </w:rPr>
              <w:t>CMs</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Critical Measurements</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bCs/>
                <w:sz w:val="24"/>
              </w:rPr>
            </w:pPr>
            <w:r w:rsidRPr="00C875E8">
              <w:rPr>
                <w:bCs/>
                <w:sz w:val="24"/>
              </w:rPr>
              <w:t>COPANET</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Commonwealth Network</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sz w:val="24"/>
              </w:rPr>
            </w:pPr>
            <w:r w:rsidRPr="00C875E8">
              <w:rPr>
                <w:sz w:val="24"/>
              </w:rPr>
              <w:t>CTC</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Commonwealth Technology Center</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sz w:val="24"/>
              </w:rPr>
            </w:pPr>
            <w:r w:rsidRPr="00C875E8">
              <w:rPr>
                <w:sz w:val="24"/>
              </w:rPr>
              <w:t>DBA</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Database Administration</w:t>
            </w:r>
          </w:p>
        </w:tc>
      </w:tr>
      <w:tr w:rsidR="00C875E8" w:rsidRPr="00C875E8" w:rsidTr="00072714">
        <w:trPr>
          <w:cantSplit/>
          <w:jc w:val="center"/>
        </w:trPr>
        <w:tc>
          <w:tcPr>
            <w:tcW w:w="1477" w:type="pct"/>
          </w:tcPr>
          <w:p w:rsidR="00C875E8" w:rsidRPr="00C875E8" w:rsidRDefault="00C875E8" w:rsidP="00764264">
            <w:pPr>
              <w:autoSpaceDE w:val="0"/>
              <w:autoSpaceDN w:val="0"/>
              <w:adjustRightInd w:val="0"/>
              <w:rPr>
                <w:color w:val="000000"/>
                <w:sz w:val="24"/>
              </w:rPr>
            </w:pPr>
            <w:r w:rsidRPr="00C875E8">
              <w:rPr>
                <w:color w:val="000000"/>
                <w:sz w:val="24"/>
              </w:rPr>
              <w:t>DGS</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Department of General Services</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sz w:val="24"/>
              </w:rPr>
            </w:pPr>
            <w:r w:rsidRPr="00C875E8">
              <w:rPr>
                <w:sz w:val="24"/>
              </w:rPr>
              <w:t>DGS</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Department of General Services</w:t>
            </w:r>
          </w:p>
        </w:tc>
      </w:tr>
      <w:tr w:rsidR="00C875E8" w:rsidRPr="00C875E8" w:rsidTr="00072714">
        <w:trPr>
          <w:cantSplit/>
          <w:jc w:val="center"/>
        </w:trPr>
        <w:tc>
          <w:tcPr>
            <w:tcW w:w="1477" w:type="pct"/>
          </w:tcPr>
          <w:p w:rsidR="00C875E8" w:rsidRPr="00C875E8" w:rsidRDefault="00C875E8" w:rsidP="00764264">
            <w:pPr>
              <w:autoSpaceDE w:val="0"/>
              <w:autoSpaceDN w:val="0"/>
              <w:adjustRightInd w:val="0"/>
              <w:rPr>
                <w:color w:val="000000"/>
                <w:sz w:val="24"/>
              </w:rPr>
            </w:pPr>
            <w:r w:rsidRPr="00C875E8">
              <w:rPr>
                <w:color w:val="000000"/>
                <w:sz w:val="24"/>
              </w:rPr>
              <w:t>DLI</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Department of Labor and Industry</w:t>
            </w:r>
          </w:p>
        </w:tc>
      </w:tr>
      <w:tr w:rsidR="00C875E8" w:rsidRPr="00C875E8" w:rsidTr="00072714">
        <w:trPr>
          <w:cantSplit/>
          <w:jc w:val="center"/>
        </w:trPr>
        <w:tc>
          <w:tcPr>
            <w:tcW w:w="1477" w:type="pct"/>
          </w:tcPr>
          <w:p w:rsidR="00C875E8" w:rsidRPr="00C875E8" w:rsidRDefault="00C875E8" w:rsidP="00764264">
            <w:pPr>
              <w:autoSpaceDE w:val="0"/>
              <w:autoSpaceDN w:val="0"/>
              <w:adjustRightInd w:val="0"/>
              <w:rPr>
                <w:color w:val="000000"/>
                <w:sz w:val="24"/>
              </w:rPr>
            </w:pPr>
            <w:r w:rsidRPr="00C875E8">
              <w:rPr>
                <w:color w:val="000000"/>
                <w:sz w:val="24"/>
              </w:rPr>
              <w:t>DOC</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Department of Corrections</w:t>
            </w:r>
          </w:p>
        </w:tc>
      </w:tr>
      <w:tr w:rsidR="00C875E8" w:rsidRPr="00C875E8" w:rsidTr="00072714">
        <w:trPr>
          <w:cantSplit/>
          <w:jc w:val="center"/>
        </w:trPr>
        <w:tc>
          <w:tcPr>
            <w:tcW w:w="1477" w:type="pct"/>
          </w:tcPr>
          <w:p w:rsidR="00C875E8" w:rsidRPr="00C875E8" w:rsidRDefault="00C875E8" w:rsidP="00764264">
            <w:pPr>
              <w:autoSpaceDE w:val="0"/>
              <w:autoSpaceDN w:val="0"/>
              <w:adjustRightInd w:val="0"/>
              <w:rPr>
                <w:color w:val="000000"/>
                <w:sz w:val="24"/>
              </w:rPr>
            </w:pPr>
            <w:r w:rsidRPr="00C875E8">
              <w:rPr>
                <w:color w:val="000000"/>
                <w:sz w:val="24"/>
              </w:rPr>
              <w:t>DOH</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Department of Health</w:t>
            </w:r>
          </w:p>
        </w:tc>
      </w:tr>
      <w:tr w:rsidR="00C875E8" w:rsidRPr="00C875E8" w:rsidTr="00072714">
        <w:trPr>
          <w:cantSplit/>
          <w:jc w:val="center"/>
        </w:trPr>
        <w:tc>
          <w:tcPr>
            <w:tcW w:w="1477" w:type="pct"/>
          </w:tcPr>
          <w:p w:rsidR="00C875E8" w:rsidRPr="00C875E8" w:rsidRDefault="00C875E8" w:rsidP="00764264">
            <w:pPr>
              <w:autoSpaceDE w:val="0"/>
              <w:autoSpaceDN w:val="0"/>
              <w:adjustRightInd w:val="0"/>
              <w:rPr>
                <w:color w:val="000000"/>
                <w:sz w:val="24"/>
              </w:rPr>
            </w:pPr>
            <w:r w:rsidRPr="00C875E8">
              <w:rPr>
                <w:color w:val="000000"/>
                <w:sz w:val="24"/>
              </w:rPr>
              <w:t>DOR</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Department of Revenue</w:t>
            </w:r>
          </w:p>
        </w:tc>
      </w:tr>
      <w:tr w:rsidR="00C875E8" w:rsidRPr="00C875E8" w:rsidTr="00072714">
        <w:trPr>
          <w:cantSplit/>
          <w:jc w:val="center"/>
        </w:trPr>
        <w:tc>
          <w:tcPr>
            <w:tcW w:w="1477" w:type="pct"/>
          </w:tcPr>
          <w:p w:rsidR="00C875E8" w:rsidRPr="00C875E8" w:rsidRDefault="00C875E8" w:rsidP="00764264">
            <w:pPr>
              <w:autoSpaceDE w:val="0"/>
              <w:autoSpaceDN w:val="0"/>
              <w:adjustRightInd w:val="0"/>
              <w:rPr>
                <w:color w:val="000000"/>
                <w:sz w:val="24"/>
              </w:rPr>
            </w:pPr>
            <w:r w:rsidRPr="00C875E8">
              <w:rPr>
                <w:color w:val="000000"/>
                <w:sz w:val="24"/>
              </w:rPr>
              <w:t>DOT</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Department of Transportation</w:t>
            </w:r>
          </w:p>
        </w:tc>
      </w:tr>
      <w:tr w:rsidR="00C875E8" w:rsidRPr="00C875E8" w:rsidTr="000819A9">
        <w:trPr>
          <w:cantSplit/>
          <w:jc w:val="center"/>
        </w:trPr>
        <w:tc>
          <w:tcPr>
            <w:tcW w:w="1477" w:type="pct"/>
          </w:tcPr>
          <w:p w:rsidR="00C875E8" w:rsidRPr="00C875E8" w:rsidRDefault="00C875E8" w:rsidP="00764264">
            <w:pPr>
              <w:rPr>
                <w:bCs/>
                <w:sz w:val="24"/>
              </w:rPr>
            </w:pPr>
            <w:r w:rsidRPr="00C875E8">
              <w:rPr>
                <w:sz w:val="24"/>
              </w:rPr>
              <w:t>DPH</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Data Power House</w:t>
            </w:r>
          </w:p>
        </w:tc>
      </w:tr>
      <w:tr w:rsidR="00C875E8" w:rsidRPr="00C875E8" w:rsidTr="00072714">
        <w:trPr>
          <w:cantSplit/>
          <w:jc w:val="center"/>
        </w:trPr>
        <w:tc>
          <w:tcPr>
            <w:tcW w:w="1477" w:type="pct"/>
          </w:tcPr>
          <w:p w:rsidR="00C875E8" w:rsidRPr="00C875E8" w:rsidRDefault="00C875E8" w:rsidP="00764264">
            <w:pPr>
              <w:autoSpaceDE w:val="0"/>
              <w:autoSpaceDN w:val="0"/>
              <w:adjustRightInd w:val="0"/>
              <w:rPr>
                <w:color w:val="000000"/>
                <w:sz w:val="24"/>
              </w:rPr>
            </w:pPr>
            <w:r w:rsidRPr="00C875E8">
              <w:rPr>
                <w:color w:val="000000"/>
                <w:sz w:val="24"/>
              </w:rPr>
              <w:lastRenderedPageBreak/>
              <w:t>DPW</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Department of Public Welfare</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bCs/>
                <w:sz w:val="24"/>
              </w:rPr>
            </w:pPr>
            <w:r w:rsidRPr="00C875E8">
              <w:rPr>
                <w:sz w:val="24"/>
              </w:rPr>
              <w:t>DR</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Disaster Recovery</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bCs/>
                <w:sz w:val="24"/>
              </w:rPr>
            </w:pPr>
            <w:r w:rsidRPr="00C875E8">
              <w:rPr>
                <w:bCs/>
                <w:sz w:val="24"/>
              </w:rPr>
              <w:t>EDC</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bCs/>
                <w:sz w:val="24"/>
              </w:rPr>
              <w:t>Enterprise Data Center</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bCs/>
                <w:sz w:val="24"/>
              </w:rPr>
            </w:pPr>
            <w:r w:rsidRPr="00C875E8">
              <w:rPr>
                <w:bCs/>
                <w:sz w:val="24"/>
              </w:rPr>
              <w:t>FIPS</w:t>
            </w:r>
          </w:p>
        </w:tc>
        <w:tc>
          <w:tcPr>
            <w:tcW w:w="3523" w:type="pct"/>
          </w:tcPr>
          <w:p w:rsidR="00C875E8" w:rsidRPr="00C875E8" w:rsidRDefault="00C875E8" w:rsidP="00764264">
            <w:pPr>
              <w:pStyle w:val="HeadingTable"/>
              <w:jc w:val="left"/>
              <w:rPr>
                <w:rFonts w:ascii="Times New Roman" w:hAnsi="Times New Roman"/>
                <w:b w:val="0"/>
                <w:bCs/>
                <w:sz w:val="24"/>
              </w:rPr>
            </w:pPr>
            <w:r w:rsidRPr="00C875E8">
              <w:rPr>
                <w:rFonts w:ascii="Times New Roman" w:hAnsi="Times New Roman"/>
                <w:b w:val="0"/>
                <w:bCs/>
                <w:sz w:val="24"/>
              </w:rPr>
              <w:t>Federal Information Processing Standards</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bCs/>
                <w:sz w:val="24"/>
              </w:rPr>
            </w:pPr>
            <w:r w:rsidRPr="00C875E8">
              <w:rPr>
                <w:bCs/>
                <w:sz w:val="24"/>
              </w:rPr>
              <w:t>FIRPA</w:t>
            </w:r>
          </w:p>
        </w:tc>
        <w:tc>
          <w:tcPr>
            <w:tcW w:w="3523" w:type="pct"/>
          </w:tcPr>
          <w:p w:rsidR="00C875E8" w:rsidRPr="00C875E8" w:rsidRDefault="00C875E8" w:rsidP="00764264">
            <w:pPr>
              <w:pStyle w:val="HeadingTable"/>
              <w:jc w:val="left"/>
              <w:rPr>
                <w:rFonts w:ascii="Times New Roman" w:hAnsi="Times New Roman"/>
                <w:b w:val="0"/>
                <w:bCs/>
                <w:sz w:val="24"/>
              </w:rPr>
            </w:pPr>
            <w:r w:rsidRPr="00C875E8">
              <w:rPr>
                <w:rFonts w:ascii="Times New Roman" w:hAnsi="Times New Roman"/>
                <w:b w:val="0"/>
                <w:bCs/>
                <w:sz w:val="24"/>
              </w:rPr>
              <w:t>Family Educational Rights and Privacy Act</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bCs/>
                <w:sz w:val="24"/>
              </w:rPr>
            </w:pPr>
            <w:r w:rsidRPr="00C875E8">
              <w:rPr>
                <w:bCs/>
                <w:sz w:val="24"/>
              </w:rPr>
              <w:t>GLBA</w:t>
            </w:r>
          </w:p>
        </w:tc>
        <w:tc>
          <w:tcPr>
            <w:tcW w:w="3523" w:type="pct"/>
          </w:tcPr>
          <w:p w:rsidR="00C875E8" w:rsidRPr="00C875E8" w:rsidRDefault="00C875E8" w:rsidP="00764264">
            <w:pPr>
              <w:pStyle w:val="HeadingTable"/>
              <w:jc w:val="left"/>
              <w:rPr>
                <w:rFonts w:ascii="Times New Roman" w:hAnsi="Times New Roman"/>
                <w:b w:val="0"/>
                <w:bCs/>
                <w:sz w:val="24"/>
              </w:rPr>
            </w:pPr>
            <w:r w:rsidRPr="00C875E8">
              <w:rPr>
                <w:rFonts w:ascii="Times New Roman" w:hAnsi="Times New Roman"/>
                <w:b w:val="0"/>
                <w:bCs/>
                <w:sz w:val="24"/>
              </w:rPr>
              <w:t>Gramm-Leach-Bliley Act of 1999</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color w:val="000000"/>
                <w:sz w:val="24"/>
              </w:rPr>
            </w:pPr>
            <w:r w:rsidRPr="00C875E8">
              <w:rPr>
                <w:color w:val="000000"/>
                <w:sz w:val="24"/>
              </w:rPr>
              <w:t>HIPAA</w:t>
            </w:r>
          </w:p>
        </w:tc>
        <w:tc>
          <w:tcPr>
            <w:tcW w:w="3523" w:type="pct"/>
          </w:tcPr>
          <w:p w:rsidR="00C875E8" w:rsidRPr="00C875E8" w:rsidRDefault="00C875E8" w:rsidP="00764264">
            <w:pPr>
              <w:pStyle w:val="HeadingTable"/>
              <w:jc w:val="left"/>
              <w:rPr>
                <w:rFonts w:ascii="Times New Roman" w:hAnsi="Times New Roman"/>
                <w:b w:val="0"/>
                <w:color w:val="000000"/>
                <w:sz w:val="24"/>
              </w:rPr>
            </w:pPr>
            <w:r w:rsidRPr="00C875E8">
              <w:rPr>
                <w:rFonts w:ascii="Times New Roman" w:hAnsi="Times New Roman"/>
                <w:b w:val="0"/>
                <w:color w:val="000000"/>
                <w:sz w:val="24"/>
              </w:rPr>
              <w:t>Health Insurance Portability and Accountability Act</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color w:val="000000"/>
                <w:sz w:val="24"/>
              </w:rPr>
            </w:pPr>
            <w:r w:rsidRPr="00C875E8">
              <w:rPr>
                <w:color w:val="000000"/>
                <w:sz w:val="24"/>
              </w:rPr>
              <w:t>HLE</w:t>
            </w:r>
          </w:p>
        </w:tc>
        <w:tc>
          <w:tcPr>
            <w:tcW w:w="3523" w:type="pct"/>
          </w:tcPr>
          <w:p w:rsidR="00C875E8" w:rsidRPr="00C875E8" w:rsidRDefault="00C875E8" w:rsidP="00764264">
            <w:pPr>
              <w:pStyle w:val="HeadingTable"/>
              <w:jc w:val="left"/>
              <w:rPr>
                <w:rFonts w:ascii="Times New Roman" w:hAnsi="Times New Roman"/>
                <w:b w:val="0"/>
                <w:color w:val="000000"/>
                <w:sz w:val="24"/>
              </w:rPr>
            </w:pPr>
            <w:r w:rsidRPr="00C875E8">
              <w:rPr>
                <w:rFonts w:ascii="Times New Roman" w:hAnsi="Times New Roman"/>
                <w:b w:val="0"/>
                <w:color w:val="000000"/>
                <w:sz w:val="24"/>
              </w:rPr>
              <w:t>High Level Estimate</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bCs/>
                <w:sz w:val="24"/>
              </w:rPr>
            </w:pPr>
            <w:r w:rsidRPr="00C875E8">
              <w:rPr>
                <w:sz w:val="24"/>
              </w:rPr>
              <w:t>HVAC</w:t>
            </w:r>
          </w:p>
        </w:tc>
        <w:tc>
          <w:tcPr>
            <w:tcW w:w="3523" w:type="pct"/>
          </w:tcPr>
          <w:p w:rsidR="00C875E8" w:rsidRPr="00C875E8" w:rsidRDefault="00C875E8" w:rsidP="00764264">
            <w:pPr>
              <w:pStyle w:val="HeadingTable"/>
              <w:jc w:val="left"/>
              <w:rPr>
                <w:rFonts w:ascii="Times New Roman" w:hAnsi="Times New Roman"/>
                <w:b w:val="0"/>
                <w:bCs/>
                <w:sz w:val="24"/>
              </w:rPr>
            </w:pPr>
            <w:r w:rsidRPr="00C875E8">
              <w:rPr>
                <w:rFonts w:ascii="Times New Roman" w:hAnsi="Times New Roman"/>
                <w:b w:val="0"/>
                <w:sz w:val="24"/>
              </w:rPr>
              <w:t>Heating, Ventilation, and Air Conditioning</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bCs/>
                <w:sz w:val="24"/>
              </w:rPr>
            </w:pPr>
            <w:r w:rsidRPr="00C875E8">
              <w:rPr>
                <w:sz w:val="24"/>
              </w:rPr>
              <w:t>IES</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Integrated Enterprise Services</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sz w:val="24"/>
              </w:rPr>
            </w:pPr>
            <w:r w:rsidRPr="00C875E8">
              <w:rPr>
                <w:sz w:val="24"/>
              </w:rPr>
              <w:t>IFL</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Integrated Facility for Linux</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bCs/>
                <w:sz w:val="24"/>
              </w:rPr>
            </w:pPr>
            <w:r w:rsidRPr="00C875E8">
              <w:rPr>
                <w:sz w:val="24"/>
              </w:rPr>
              <w:t>ITB</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Information Technologies Bulletin</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bCs/>
                <w:sz w:val="24"/>
              </w:rPr>
            </w:pPr>
            <w:r w:rsidRPr="00C875E8">
              <w:rPr>
                <w:sz w:val="24"/>
              </w:rPr>
              <w:t>ITIL</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Information Technology Infrastructure Library</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bCs/>
                <w:sz w:val="24"/>
              </w:rPr>
            </w:pPr>
            <w:r w:rsidRPr="00C875E8">
              <w:rPr>
                <w:bCs/>
                <w:sz w:val="24"/>
              </w:rPr>
              <w:t>ITSM</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Information Technologies Service Management</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bCs/>
                <w:sz w:val="24"/>
              </w:rPr>
            </w:pPr>
            <w:r w:rsidRPr="00C875E8">
              <w:rPr>
                <w:sz w:val="24"/>
              </w:rPr>
              <w:t>KM</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Key Measurement</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bCs/>
                <w:sz w:val="24"/>
              </w:rPr>
            </w:pPr>
            <w:r w:rsidRPr="00C875E8">
              <w:rPr>
                <w:sz w:val="24"/>
              </w:rPr>
              <w:t>KMP</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Knowledge Management Portal</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bCs/>
                <w:sz w:val="24"/>
              </w:rPr>
            </w:pPr>
            <w:r w:rsidRPr="00C875E8">
              <w:rPr>
                <w:sz w:val="24"/>
              </w:rPr>
              <w:t>LPAR</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Logical Partition</w:t>
            </w:r>
          </w:p>
        </w:tc>
      </w:tr>
      <w:tr w:rsidR="00C875E8" w:rsidRPr="00C875E8" w:rsidTr="00072714">
        <w:trPr>
          <w:cantSplit/>
          <w:jc w:val="center"/>
        </w:trPr>
        <w:tc>
          <w:tcPr>
            <w:tcW w:w="1477" w:type="pct"/>
          </w:tcPr>
          <w:p w:rsidR="00C875E8" w:rsidRPr="00C875E8" w:rsidRDefault="00C875E8" w:rsidP="00764264">
            <w:pPr>
              <w:autoSpaceDE w:val="0"/>
              <w:autoSpaceDN w:val="0"/>
              <w:adjustRightInd w:val="0"/>
              <w:rPr>
                <w:color w:val="000000"/>
                <w:sz w:val="24"/>
              </w:rPr>
            </w:pPr>
            <w:r w:rsidRPr="00C875E8">
              <w:rPr>
                <w:color w:val="000000"/>
                <w:sz w:val="24"/>
              </w:rPr>
              <w:t>OA</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Office of Administration</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bCs/>
                <w:sz w:val="24"/>
              </w:rPr>
            </w:pPr>
            <w:r w:rsidRPr="00C875E8">
              <w:rPr>
                <w:sz w:val="24"/>
              </w:rPr>
              <w:t>OA/OIT</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Office of Administration / Office for Information Technologies</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sz w:val="24"/>
              </w:rPr>
            </w:pPr>
            <w:r w:rsidRPr="00C875E8">
              <w:rPr>
                <w:sz w:val="24"/>
              </w:rPr>
              <w:t>OAG</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Office of Attorney General</w:t>
            </w:r>
          </w:p>
        </w:tc>
      </w:tr>
      <w:tr w:rsidR="00C875E8" w:rsidRPr="00C875E8" w:rsidTr="00072714">
        <w:trPr>
          <w:cantSplit/>
          <w:jc w:val="center"/>
        </w:trPr>
        <w:tc>
          <w:tcPr>
            <w:tcW w:w="1477" w:type="pct"/>
          </w:tcPr>
          <w:p w:rsidR="00C875E8" w:rsidRPr="00C875E8" w:rsidRDefault="00C875E8" w:rsidP="00764264">
            <w:pPr>
              <w:autoSpaceDE w:val="0"/>
              <w:autoSpaceDN w:val="0"/>
              <w:adjustRightInd w:val="0"/>
              <w:rPr>
                <w:color w:val="000000"/>
                <w:sz w:val="24"/>
              </w:rPr>
            </w:pPr>
            <w:r w:rsidRPr="00C875E8">
              <w:rPr>
                <w:color w:val="000000"/>
                <w:sz w:val="24"/>
              </w:rPr>
              <w:t>OIG</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Office of Inspector General</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bCs/>
                <w:sz w:val="24"/>
              </w:rPr>
            </w:pPr>
            <w:r w:rsidRPr="00C875E8">
              <w:rPr>
                <w:sz w:val="24"/>
              </w:rPr>
              <w:t>PCI</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Payment Card Industry</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sz w:val="24"/>
              </w:rPr>
            </w:pPr>
            <w:r w:rsidRPr="00C875E8">
              <w:rPr>
                <w:sz w:val="24"/>
              </w:rPr>
              <w:t>PCI DSS</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Payment Card Industry Data Security Standard</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sz w:val="24"/>
              </w:rPr>
            </w:pPr>
            <w:r w:rsidRPr="00C875E8">
              <w:rPr>
                <w:sz w:val="24"/>
              </w:rPr>
              <w:lastRenderedPageBreak/>
              <w:t>PHI</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bCs/>
                <w:sz w:val="24"/>
              </w:rPr>
              <w:t>Protected Health Information</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bCs/>
                <w:sz w:val="24"/>
              </w:rPr>
            </w:pPr>
            <w:r w:rsidRPr="00C875E8">
              <w:rPr>
                <w:bCs/>
                <w:sz w:val="24"/>
              </w:rPr>
              <w:t>PIP</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Private IP</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bCs/>
                <w:sz w:val="24"/>
              </w:rPr>
            </w:pPr>
            <w:r w:rsidRPr="00C875E8">
              <w:rPr>
                <w:sz w:val="24"/>
              </w:rPr>
              <w:t>PMO</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Program Management Office</w:t>
            </w:r>
          </w:p>
        </w:tc>
      </w:tr>
      <w:tr w:rsidR="00C875E8" w:rsidRPr="00C875E8" w:rsidTr="00072714">
        <w:trPr>
          <w:cantSplit/>
          <w:jc w:val="center"/>
        </w:trPr>
        <w:tc>
          <w:tcPr>
            <w:tcW w:w="1477" w:type="pct"/>
          </w:tcPr>
          <w:p w:rsidR="00C875E8" w:rsidRPr="00C875E8" w:rsidRDefault="00C875E8" w:rsidP="00764264">
            <w:pPr>
              <w:autoSpaceDE w:val="0"/>
              <w:autoSpaceDN w:val="0"/>
              <w:adjustRightInd w:val="0"/>
              <w:rPr>
                <w:color w:val="000000"/>
                <w:sz w:val="24"/>
              </w:rPr>
            </w:pPr>
            <w:r w:rsidRPr="00C875E8">
              <w:rPr>
                <w:color w:val="000000"/>
                <w:sz w:val="24"/>
              </w:rPr>
              <w:t>PSP</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Pennsylvania State Police</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bCs/>
                <w:sz w:val="24"/>
              </w:rPr>
            </w:pPr>
            <w:r w:rsidRPr="00C875E8">
              <w:rPr>
                <w:sz w:val="24"/>
              </w:rPr>
              <w:t>PUE</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Power Usage Effectiveness</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sz w:val="24"/>
              </w:rPr>
            </w:pPr>
            <w:r w:rsidRPr="00C875E8">
              <w:rPr>
                <w:sz w:val="24"/>
              </w:rPr>
              <w:t>RFP</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Request For Proposal</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color w:val="000000"/>
                <w:sz w:val="24"/>
              </w:rPr>
            </w:pPr>
            <w:r w:rsidRPr="00C875E8">
              <w:rPr>
                <w:sz w:val="24"/>
              </w:rPr>
              <w:t>RTK</w:t>
            </w:r>
          </w:p>
        </w:tc>
        <w:tc>
          <w:tcPr>
            <w:tcW w:w="3523" w:type="pct"/>
          </w:tcPr>
          <w:p w:rsidR="00C875E8" w:rsidRPr="00C875E8" w:rsidRDefault="00C875E8" w:rsidP="00764264">
            <w:pPr>
              <w:pStyle w:val="HeadingTable"/>
              <w:jc w:val="left"/>
              <w:rPr>
                <w:rFonts w:ascii="Times New Roman" w:hAnsi="Times New Roman"/>
                <w:b w:val="0"/>
                <w:color w:val="000000"/>
                <w:sz w:val="24"/>
              </w:rPr>
            </w:pPr>
            <w:r w:rsidRPr="00C875E8">
              <w:rPr>
                <w:rFonts w:ascii="Times New Roman" w:hAnsi="Times New Roman"/>
                <w:b w:val="0"/>
                <w:sz w:val="24"/>
              </w:rPr>
              <w:t>Right-to-Know</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color w:val="000000"/>
                <w:sz w:val="24"/>
              </w:rPr>
            </w:pPr>
            <w:r w:rsidRPr="00C875E8">
              <w:rPr>
                <w:sz w:val="24"/>
              </w:rPr>
              <w:t>RTKL</w:t>
            </w:r>
          </w:p>
        </w:tc>
        <w:tc>
          <w:tcPr>
            <w:tcW w:w="3523" w:type="pct"/>
          </w:tcPr>
          <w:p w:rsidR="00C875E8" w:rsidRPr="00C875E8" w:rsidRDefault="00C875E8" w:rsidP="00764264">
            <w:pPr>
              <w:pStyle w:val="HeadingTable"/>
              <w:jc w:val="left"/>
              <w:rPr>
                <w:rFonts w:ascii="Times New Roman" w:hAnsi="Times New Roman"/>
                <w:b w:val="0"/>
                <w:color w:val="000000"/>
                <w:sz w:val="24"/>
              </w:rPr>
            </w:pPr>
            <w:r w:rsidRPr="00C875E8">
              <w:rPr>
                <w:rFonts w:ascii="Times New Roman" w:hAnsi="Times New Roman"/>
                <w:b w:val="0"/>
                <w:sz w:val="24"/>
              </w:rPr>
              <w:t>Right-to-Know Law</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sz w:val="24"/>
              </w:rPr>
            </w:pPr>
            <w:r w:rsidRPr="00C875E8">
              <w:rPr>
                <w:sz w:val="24"/>
              </w:rPr>
              <w:t>RTO</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Return To Operations</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sz w:val="24"/>
              </w:rPr>
            </w:pPr>
            <w:r w:rsidRPr="00C875E8">
              <w:rPr>
                <w:sz w:val="24"/>
              </w:rPr>
              <w:t>SDB</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Small Diverse Business</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bCs/>
                <w:sz w:val="24"/>
              </w:rPr>
            </w:pPr>
            <w:r w:rsidRPr="00C875E8">
              <w:rPr>
                <w:sz w:val="24"/>
              </w:rPr>
              <w:t>SDLC</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Systems Development Life Cycle</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bCs/>
                <w:sz w:val="24"/>
              </w:rPr>
            </w:pPr>
            <w:r w:rsidRPr="00C875E8">
              <w:rPr>
                <w:sz w:val="24"/>
              </w:rPr>
              <w:t>SLA</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Service Level Agreement</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color w:val="000000"/>
                <w:sz w:val="24"/>
              </w:rPr>
            </w:pPr>
            <w:r w:rsidRPr="00C875E8">
              <w:rPr>
                <w:color w:val="000000"/>
                <w:sz w:val="24"/>
              </w:rPr>
              <w:t>SOW</w:t>
            </w:r>
          </w:p>
        </w:tc>
        <w:tc>
          <w:tcPr>
            <w:tcW w:w="3523" w:type="pct"/>
          </w:tcPr>
          <w:p w:rsidR="00C875E8" w:rsidRPr="00C875E8" w:rsidRDefault="00C875E8" w:rsidP="00764264">
            <w:pPr>
              <w:pStyle w:val="HeadingTable"/>
              <w:jc w:val="left"/>
              <w:rPr>
                <w:rFonts w:ascii="Times New Roman" w:hAnsi="Times New Roman"/>
                <w:b w:val="0"/>
                <w:color w:val="000000"/>
                <w:sz w:val="24"/>
              </w:rPr>
            </w:pPr>
            <w:r w:rsidRPr="00C875E8">
              <w:rPr>
                <w:rFonts w:ascii="Times New Roman" w:hAnsi="Times New Roman"/>
                <w:b w:val="0"/>
                <w:color w:val="000000"/>
                <w:sz w:val="24"/>
              </w:rPr>
              <w:t>Statement of Work</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bCs/>
                <w:sz w:val="24"/>
              </w:rPr>
            </w:pPr>
            <w:r w:rsidRPr="00C875E8">
              <w:rPr>
                <w:color w:val="000000"/>
                <w:sz w:val="24"/>
              </w:rPr>
              <w:t>SOX</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color w:val="000000"/>
                <w:sz w:val="24"/>
              </w:rPr>
              <w:t>Sarbanes-Oxley Act of 2002</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sz w:val="24"/>
              </w:rPr>
            </w:pPr>
            <w:r w:rsidRPr="00C875E8">
              <w:rPr>
                <w:sz w:val="24"/>
              </w:rPr>
              <w:t>SSAE16</w:t>
            </w:r>
          </w:p>
        </w:tc>
        <w:tc>
          <w:tcPr>
            <w:tcW w:w="3523" w:type="pct"/>
          </w:tcPr>
          <w:p w:rsidR="00C875E8" w:rsidRPr="00C875E8" w:rsidRDefault="00C875E8" w:rsidP="00764264">
            <w:pPr>
              <w:pStyle w:val="HeadingTable"/>
              <w:jc w:val="left"/>
              <w:rPr>
                <w:rFonts w:ascii="Times New Roman" w:hAnsi="Times New Roman"/>
                <w:b w:val="0"/>
                <w:color w:val="000000"/>
                <w:sz w:val="24"/>
              </w:rPr>
            </w:pPr>
            <w:r w:rsidRPr="00C875E8">
              <w:rPr>
                <w:rFonts w:ascii="Times New Roman" w:hAnsi="Times New Roman"/>
                <w:b w:val="0"/>
                <w:color w:val="000000"/>
                <w:sz w:val="24"/>
              </w:rPr>
              <w:t>Statement on Standards for Attestation Engagements no. 16</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bCs/>
                <w:sz w:val="24"/>
              </w:rPr>
            </w:pPr>
            <w:r w:rsidRPr="00C875E8">
              <w:rPr>
                <w:color w:val="000000"/>
                <w:sz w:val="24"/>
              </w:rPr>
              <w:t>TPMO</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color w:val="000000"/>
                <w:sz w:val="24"/>
              </w:rPr>
              <w:t>Transition Program Management Office</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bCs/>
                <w:sz w:val="24"/>
              </w:rPr>
            </w:pPr>
            <w:r w:rsidRPr="00C875E8">
              <w:rPr>
                <w:sz w:val="24"/>
              </w:rPr>
              <w:t>UPS</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Uninterruptable Power Supply</w:t>
            </w:r>
          </w:p>
        </w:tc>
      </w:tr>
      <w:tr w:rsidR="00C875E8" w:rsidRPr="00C875E8" w:rsidTr="000819A9">
        <w:trPr>
          <w:cantSplit/>
          <w:jc w:val="center"/>
        </w:trPr>
        <w:tc>
          <w:tcPr>
            <w:tcW w:w="1477" w:type="pct"/>
          </w:tcPr>
          <w:p w:rsidR="00C875E8" w:rsidRPr="00C875E8" w:rsidRDefault="00C875E8" w:rsidP="00764264">
            <w:pPr>
              <w:autoSpaceDE w:val="0"/>
              <w:autoSpaceDN w:val="0"/>
              <w:adjustRightInd w:val="0"/>
              <w:rPr>
                <w:bCs/>
                <w:sz w:val="24"/>
              </w:rPr>
            </w:pPr>
            <w:r w:rsidRPr="00C875E8">
              <w:rPr>
                <w:bCs/>
                <w:sz w:val="24"/>
              </w:rPr>
              <w:t>VRF</w:t>
            </w:r>
          </w:p>
        </w:tc>
        <w:tc>
          <w:tcPr>
            <w:tcW w:w="3523" w:type="pct"/>
          </w:tcPr>
          <w:p w:rsidR="00C875E8" w:rsidRPr="00C875E8" w:rsidRDefault="00C875E8" w:rsidP="00764264">
            <w:pPr>
              <w:pStyle w:val="HeadingTable"/>
              <w:jc w:val="left"/>
              <w:rPr>
                <w:rFonts w:ascii="Times New Roman" w:hAnsi="Times New Roman"/>
                <w:b w:val="0"/>
                <w:sz w:val="24"/>
              </w:rPr>
            </w:pPr>
            <w:r w:rsidRPr="00C875E8">
              <w:rPr>
                <w:rFonts w:ascii="Times New Roman" w:hAnsi="Times New Roman"/>
                <w:b w:val="0"/>
                <w:sz w:val="24"/>
              </w:rPr>
              <w:t>Virtual Routing and Forwarding</w:t>
            </w:r>
          </w:p>
        </w:tc>
      </w:tr>
    </w:tbl>
    <w:p w:rsidR="00606B3E" w:rsidRPr="00C875E8" w:rsidRDefault="00606B3E" w:rsidP="00764264">
      <w:pPr>
        <w:pStyle w:val="Heading1"/>
        <w:pageBreakBefore/>
        <w:spacing w:before="120" w:after="120"/>
        <w:rPr>
          <w:rFonts w:ascii="Times New Roman" w:hAnsi="Times New Roman"/>
          <w:sz w:val="24"/>
          <w:szCs w:val="24"/>
        </w:rPr>
      </w:pPr>
      <w:bookmarkStart w:id="6" w:name="_Toc340751358"/>
      <w:r w:rsidRPr="00C875E8">
        <w:rPr>
          <w:rFonts w:ascii="Times New Roman" w:hAnsi="Times New Roman"/>
          <w:sz w:val="24"/>
          <w:szCs w:val="24"/>
        </w:rPr>
        <w:lastRenderedPageBreak/>
        <w:t>DEFINITIONS</w:t>
      </w:r>
      <w:bookmarkEnd w:id="6"/>
    </w:p>
    <w:p w:rsidR="00D80AD3" w:rsidRPr="00C875E8" w:rsidRDefault="00D80AD3" w:rsidP="00764264">
      <w:pPr>
        <w:pStyle w:val="TableText"/>
      </w:pPr>
      <w:r w:rsidRPr="00C875E8">
        <w:t>The following defined terms shall have the meanings specified below:</w:t>
      </w:r>
    </w:p>
    <w:tbl>
      <w:tblPr>
        <w:tblW w:w="5000" w:type="pct"/>
        <w:tblBorders>
          <w:top w:val="single" w:sz="4" w:space="0" w:color="000000"/>
          <w:bottom w:val="single" w:sz="4" w:space="0" w:color="000000"/>
          <w:insideH w:val="single" w:sz="4" w:space="0" w:color="000000"/>
          <w:insideV w:val="single" w:sz="4" w:space="0" w:color="000000"/>
        </w:tblBorders>
        <w:tblLayout w:type="fixed"/>
        <w:tblLook w:val="0000"/>
      </w:tblPr>
      <w:tblGrid>
        <w:gridCol w:w="2829"/>
        <w:gridCol w:w="6747"/>
      </w:tblGrid>
      <w:tr w:rsidR="00C875E8" w:rsidRPr="00C875E8" w:rsidTr="007B4DF9">
        <w:trPr>
          <w:cantSplit/>
          <w:tblHeader/>
        </w:trPr>
        <w:tc>
          <w:tcPr>
            <w:tcW w:w="1477" w:type="pct"/>
            <w:shd w:val="clear" w:color="auto" w:fill="F2F2F2"/>
          </w:tcPr>
          <w:p w:rsidR="00C875E8" w:rsidRPr="00C875E8" w:rsidRDefault="00C875E8" w:rsidP="003D54AE">
            <w:pPr>
              <w:pStyle w:val="HeadingTable"/>
              <w:rPr>
                <w:rFonts w:ascii="Times New Roman" w:hAnsi="Times New Roman"/>
                <w:color w:val="000000"/>
                <w:sz w:val="24"/>
              </w:rPr>
            </w:pPr>
            <w:bookmarkStart w:id="7" w:name="_DV_M11"/>
            <w:bookmarkStart w:id="8" w:name="_Toc274001591"/>
            <w:bookmarkStart w:id="9" w:name="_Toc274002240"/>
            <w:bookmarkStart w:id="10" w:name="_Toc274001592"/>
            <w:bookmarkStart w:id="11" w:name="_Toc274002241"/>
            <w:bookmarkStart w:id="12" w:name="_Toc274001593"/>
            <w:bookmarkStart w:id="13" w:name="_Toc274002242"/>
            <w:bookmarkStart w:id="14" w:name="_Toc274001594"/>
            <w:bookmarkStart w:id="15" w:name="_Toc274002243"/>
            <w:bookmarkStart w:id="16" w:name="_Toc274001595"/>
            <w:bookmarkStart w:id="17" w:name="_Toc274002244"/>
            <w:bookmarkStart w:id="18" w:name="_Toc274001596"/>
            <w:bookmarkStart w:id="19" w:name="_Toc274002245"/>
            <w:bookmarkStart w:id="20" w:name="_Toc274001597"/>
            <w:bookmarkStart w:id="21" w:name="_Toc274002246"/>
            <w:bookmarkStart w:id="22" w:name="_Toc274001598"/>
            <w:bookmarkStart w:id="23" w:name="_Toc274002247"/>
            <w:bookmarkStart w:id="24" w:name="_GoBack"/>
            <w:bookmarkEnd w:id="3"/>
            <w:bookmarkEnd w:id="4"/>
            <w:bookmarkEnd w:id="5"/>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r w:rsidRPr="00C875E8">
              <w:rPr>
                <w:rFonts w:ascii="Times New Roman" w:hAnsi="Times New Roman"/>
                <w:color w:val="000000"/>
                <w:sz w:val="24"/>
              </w:rPr>
              <w:t>Term</w:t>
            </w:r>
          </w:p>
        </w:tc>
        <w:tc>
          <w:tcPr>
            <w:tcW w:w="3523" w:type="pct"/>
            <w:shd w:val="clear" w:color="auto" w:fill="F2F2F2"/>
          </w:tcPr>
          <w:p w:rsidR="00C875E8" w:rsidRPr="00C875E8" w:rsidRDefault="00C875E8" w:rsidP="003D54AE">
            <w:pPr>
              <w:pStyle w:val="HeadingTable"/>
              <w:rPr>
                <w:rFonts w:ascii="Times New Roman" w:hAnsi="Times New Roman"/>
                <w:color w:val="000000"/>
                <w:sz w:val="24"/>
              </w:rPr>
            </w:pPr>
            <w:r w:rsidRPr="00C875E8">
              <w:rPr>
                <w:rFonts w:ascii="Times New Roman" w:hAnsi="Times New Roman"/>
                <w:color w:val="000000"/>
                <w:sz w:val="24"/>
              </w:rPr>
              <w:t>Definition</w:t>
            </w:r>
          </w:p>
        </w:tc>
      </w:tr>
      <w:tr w:rsidR="00C875E8" w:rsidRPr="00C875E8" w:rsidTr="007B4DF9">
        <w:trPr>
          <w:cantSplit/>
        </w:trPr>
        <w:tc>
          <w:tcPr>
            <w:tcW w:w="1477" w:type="pct"/>
          </w:tcPr>
          <w:p w:rsidR="00C875E8" w:rsidRPr="00C875E8" w:rsidRDefault="00C875E8" w:rsidP="003D54AE">
            <w:pPr>
              <w:autoSpaceDE w:val="0"/>
              <w:autoSpaceDN w:val="0"/>
              <w:adjustRightInd w:val="0"/>
              <w:rPr>
                <w:bCs/>
                <w:sz w:val="24"/>
              </w:rPr>
            </w:pPr>
            <w:r w:rsidRPr="00C875E8">
              <w:rPr>
                <w:sz w:val="24"/>
              </w:rPr>
              <w:t>24 x 7 x 365</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A continuous, non-stop period of time.</w:t>
            </w:r>
          </w:p>
        </w:tc>
      </w:tr>
      <w:tr w:rsidR="00C875E8" w:rsidRPr="00C875E8" w:rsidTr="007B4DF9">
        <w:trPr>
          <w:cantSplit/>
        </w:trPr>
        <w:tc>
          <w:tcPr>
            <w:tcW w:w="1477" w:type="pct"/>
          </w:tcPr>
          <w:p w:rsidR="00C875E8" w:rsidRPr="00C875E8" w:rsidRDefault="00C875E8" w:rsidP="003D54AE">
            <w:pPr>
              <w:autoSpaceDE w:val="0"/>
              <w:autoSpaceDN w:val="0"/>
              <w:adjustRightInd w:val="0"/>
              <w:rPr>
                <w:bCs/>
                <w:sz w:val="24"/>
              </w:rPr>
            </w:pPr>
            <w:r w:rsidRPr="00C875E8">
              <w:rPr>
                <w:sz w:val="24"/>
              </w:rPr>
              <w:t>Acceptance Criteria</w:t>
            </w:r>
          </w:p>
        </w:tc>
        <w:tc>
          <w:tcPr>
            <w:tcW w:w="3523" w:type="pct"/>
          </w:tcPr>
          <w:p w:rsidR="00C875E8" w:rsidRPr="00C875E8" w:rsidDel="008F72A0" w:rsidRDefault="00C875E8" w:rsidP="003D54AE">
            <w:pPr>
              <w:pStyle w:val="HeadingTable"/>
              <w:jc w:val="both"/>
              <w:rPr>
                <w:rFonts w:ascii="Times New Roman" w:hAnsi="Times New Roman"/>
                <w:b w:val="0"/>
                <w:sz w:val="24"/>
              </w:rPr>
            </w:pPr>
            <w:r w:rsidRPr="00C875E8">
              <w:rPr>
                <w:rFonts w:ascii="Times New Roman" w:hAnsi="Times New Roman"/>
                <w:b w:val="0"/>
                <w:sz w:val="24"/>
              </w:rPr>
              <w:t xml:space="preserve">The list of predetermined objectives that define the minimum capabilities or work results that is acceptable to the Commonwealth. </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t>Acceptance Testing Plan</w:t>
            </w:r>
          </w:p>
        </w:tc>
        <w:tc>
          <w:tcPr>
            <w:tcW w:w="3523" w:type="pct"/>
          </w:tcPr>
          <w:p w:rsidR="00C875E8" w:rsidRPr="00C875E8" w:rsidRDefault="00C875E8" w:rsidP="00B240AA">
            <w:pPr>
              <w:pStyle w:val="HeadingTable"/>
              <w:jc w:val="both"/>
              <w:rPr>
                <w:rFonts w:ascii="Times New Roman" w:hAnsi="Times New Roman"/>
                <w:b w:val="0"/>
                <w:sz w:val="24"/>
              </w:rPr>
            </w:pPr>
            <w:r w:rsidRPr="00C875E8">
              <w:rPr>
                <w:rFonts w:ascii="Times New Roman" w:hAnsi="Times New Roman"/>
                <w:b w:val="0"/>
                <w:color w:val="000000"/>
              </w:rPr>
              <w:t>A mutually agreed plan that includes the testing of application infrastructure performance characteristics prior to migrating each of the current application workloads to the Offeror’s infrastructure.</w:t>
            </w:r>
          </w:p>
        </w:tc>
      </w:tr>
      <w:tr w:rsidR="00C875E8" w:rsidRPr="00C875E8" w:rsidTr="007B4DF9">
        <w:trPr>
          <w:cantSplit/>
        </w:trPr>
        <w:tc>
          <w:tcPr>
            <w:tcW w:w="1477" w:type="pct"/>
          </w:tcPr>
          <w:p w:rsidR="00C875E8" w:rsidRPr="00C875E8" w:rsidRDefault="00C875E8" w:rsidP="003D54AE">
            <w:pPr>
              <w:autoSpaceDE w:val="0"/>
              <w:autoSpaceDN w:val="0"/>
              <w:adjustRightInd w:val="0"/>
              <w:rPr>
                <w:bCs/>
                <w:sz w:val="24"/>
              </w:rPr>
            </w:pPr>
            <w:r w:rsidRPr="00C875E8">
              <w:rPr>
                <w:sz w:val="24"/>
              </w:rPr>
              <w:t>Agency</w:t>
            </w:r>
            <w:r w:rsidRPr="00C875E8">
              <w:rPr>
                <w:sz w:val="24"/>
              </w:rPr>
              <w:br/>
              <w:t>Agencies</w:t>
            </w:r>
          </w:p>
        </w:tc>
        <w:tc>
          <w:tcPr>
            <w:tcW w:w="3523" w:type="pct"/>
          </w:tcPr>
          <w:p w:rsidR="00C875E8" w:rsidRPr="00C875E8" w:rsidDel="00244412" w:rsidRDefault="00C875E8" w:rsidP="003D54AE">
            <w:pPr>
              <w:pStyle w:val="HeadingTable"/>
              <w:jc w:val="both"/>
              <w:rPr>
                <w:rFonts w:ascii="Times New Roman" w:hAnsi="Times New Roman"/>
                <w:b w:val="0"/>
                <w:sz w:val="24"/>
              </w:rPr>
            </w:pPr>
            <w:r w:rsidRPr="00C875E8">
              <w:rPr>
                <w:rFonts w:ascii="Times New Roman" w:hAnsi="Times New Roman"/>
                <w:b w:val="0"/>
                <w:sz w:val="24"/>
              </w:rPr>
              <w:t>One or more administration division(s) of the Commonwealth of Pennsylvania.</w:t>
            </w:r>
          </w:p>
        </w:tc>
      </w:tr>
      <w:tr w:rsidR="00C875E8" w:rsidRPr="00C875E8" w:rsidTr="007B4DF9">
        <w:trPr>
          <w:cantSplit/>
        </w:trPr>
        <w:tc>
          <w:tcPr>
            <w:tcW w:w="1477" w:type="pct"/>
          </w:tcPr>
          <w:p w:rsidR="00C875E8" w:rsidRPr="00C875E8" w:rsidRDefault="00C875E8" w:rsidP="003D54AE">
            <w:pPr>
              <w:autoSpaceDE w:val="0"/>
              <w:autoSpaceDN w:val="0"/>
              <w:adjustRightInd w:val="0"/>
              <w:rPr>
                <w:bCs/>
                <w:sz w:val="24"/>
              </w:rPr>
            </w:pPr>
            <w:r w:rsidRPr="00C875E8">
              <w:rPr>
                <w:sz w:val="24"/>
              </w:rPr>
              <w:t>Application Development and Maintenance</w:t>
            </w:r>
            <w:r w:rsidRPr="00C875E8">
              <w:rPr>
                <w:sz w:val="24"/>
              </w:rPr>
              <w:br/>
              <w:t>(ADM)</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The work needed to create, update and maintain software applications.</w:t>
            </w:r>
          </w:p>
        </w:tc>
      </w:tr>
      <w:tr w:rsidR="00C875E8" w:rsidRPr="00C875E8" w:rsidTr="007B4DF9">
        <w:trPr>
          <w:cantSplit/>
        </w:trPr>
        <w:tc>
          <w:tcPr>
            <w:tcW w:w="1477" w:type="pct"/>
          </w:tcPr>
          <w:p w:rsidR="00C875E8" w:rsidRPr="00C875E8" w:rsidRDefault="00C875E8" w:rsidP="003D54AE">
            <w:pPr>
              <w:autoSpaceDE w:val="0"/>
              <w:autoSpaceDN w:val="0"/>
              <w:adjustRightInd w:val="0"/>
              <w:rPr>
                <w:color w:val="000000"/>
                <w:sz w:val="24"/>
              </w:rPr>
            </w:pPr>
            <w:bookmarkStart w:id="25" w:name="_Toc332877338"/>
            <w:r w:rsidRPr="00C875E8">
              <w:rPr>
                <w:bCs/>
                <w:sz w:val="24"/>
              </w:rPr>
              <w:t>Application Infrastructure Availability</w:t>
            </w:r>
            <w:bookmarkEnd w:id="25"/>
          </w:p>
        </w:tc>
        <w:tc>
          <w:tcPr>
            <w:tcW w:w="3523" w:type="pct"/>
          </w:tcPr>
          <w:p w:rsidR="00C875E8" w:rsidRPr="00C875E8" w:rsidRDefault="00C875E8" w:rsidP="003D54AE">
            <w:pPr>
              <w:jc w:val="both"/>
              <w:rPr>
                <w:color w:val="000000"/>
                <w:sz w:val="24"/>
              </w:rPr>
            </w:pPr>
            <w:r w:rsidRPr="00C875E8">
              <w:rPr>
                <w:color w:val="000000"/>
                <w:sz w:val="24"/>
              </w:rPr>
              <w:t>A Service Level that measures the percentage of time the Applications is available during the applicable Measurement Window.</w:t>
            </w:r>
          </w:p>
          <w:p w:rsidR="00C875E8" w:rsidRPr="00C875E8" w:rsidRDefault="00C875E8" w:rsidP="003D54AE">
            <w:pPr>
              <w:jc w:val="both"/>
              <w:rPr>
                <w:color w:val="000000"/>
                <w:sz w:val="24"/>
              </w:rPr>
            </w:pPr>
            <w:r w:rsidRPr="00C875E8">
              <w:rPr>
                <w:color w:val="000000"/>
                <w:sz w:val="24"/>
              </w:rPr>
              <w:t>Availability is determined by whether the application residing on any of the associated server instances is available to users as defined within the CMDB.</w:t>
            </w:r>
          </w:p>
        </w:tc>
      </w:tr>
      <w:tr w:rsidR="00C875E8" w:rsidRPr="00C875E8" w:rsidTr="007B4DF9">
        <w:trPr>
          <w:cantSplit/>
        </w:trPr>
        <w:tc>
          <w:tcPr>
            <w:tcW w:w="1477" w:type="pct"/>
          </w:tcPr>
          <w:p w:rsidR="00C875E8" w:rsidRPr="00C875E8" w:rsidRDefault="00C875E8" w:rsidP="003D54AE">
            <w:pPr>
              <w:autoSpaceDE w:val="0"/>
              <w:autoSpaceDN w:val="0"/>
              <w:adjustRightInd w:val="0"/>
              <w:rPr>
                <w:bCs/>
                <w:sz w:val="24"/>
              </w:rPr>
            </w:pPr>
            <w:r w:rsidRPr="00C875E8">
              <w:rPr>
                <w:sz w:val="24"/>
              </w:rPr>
              <w:t>Assistance Event</w:t>
            </w:r>
          </w:p>
        </w:tc>
        <w:tc>
          <w:tcPr>
            <w:tcW w:w="3523" w:type="pct"/>
          </w:tcPr>
          <w:p w:rsidR="00C875E8" w:rsidRPr="00C875E8" w:rsidDel="00244412" w:rsidRDefault="00C875E8" w:rsidP="003D54AE">
            <w:pPr>
              <w:pStyle w:val="HeadingTable"/>
              <w:jc w:val="both"/>
              <w:rPr>
                <w:rFonts w:ascii="Times New Roman" w:hAnsi="Times New Roman"/>
                <w:b w:val="0"/>
                <w:sz w:val="24"/>
              </w:rPr>
            </w:pPr>
            <w:r w:rsidRPr="00C875E8">
              <w:rPr>
                <w:rFonts w:ascii="Times New Roman" w:hAnsi="Times New Roman"/>
                <w:b w:val="0"/>
                <w:sz w:val="24"/>
              </w:rPr>
              <w:t>A single necessary and appropriate action to accomplish a complete, timely, and seamless transition of any Terminated Services from Offeror to the Commonwealth, or to any replacement provider designated by the Commonwealth, without material interruption of or material adverse impact on the Terminated Services or any other services provided by third-parties or Services that Offeror shall continue to provide</w:t>
            </w:r>
          </w:p>
        </w:tc>
      </w:tr>
      <w:tr w:rsidR="00C875E8" w:rsidRPr="00C875E8" w:rsidTr="007B4DF9">
        <w:trPr>
          <w:cantSplit/>
        </w:trPr>
        <w:tc>
          <w:tcPr>
            <w:tcW w:w="1477" w:type="pct"/>
            <w:shd w:val="clear" w:color="auto" w:fill="auto"/>
          </w:tcPr>
          <w:p w:rsidR="00C875E8" w:rsidRPr="00C875E8" w:rsidRDefault="00C875E8" w:rsidP="003D54AE">
            <w:pPr>
              <w:autoSpaceDE w:val="0"/>
              <w:autoSpaceDN w:val="0"/>
              <w:adjustRightInd w:val="0"/>
              <w:rPr>
                <w:sz w:val="24"/>
              </w:rPr>
            </w:pPr>
            <w:r w:rsidRPr="00C875E8">
              <w:rPr>
                <w:bCs/>
                <w:sz w:val="24"/>
              </w:rPr>
              <w:t>At Risk Amount</w:t>
            </w:r>
          </w:p>
        </w:tc>
        <w:tc>
          <w:tcPr>
            <w:tcW w:w="3523" w:type="pct"/>
            <w:shd w:val="clear" w:color="auto" w:fill="auto"/>
          </w:tcPr>
          <w:p w:rsidR="00C875E8" w:rsidRPr="00C875E8" w:rsidRDefault="00C875E8" w:rsidP="003D54AE">
            <w:pPr>
              <w:pStyle w:val="HeadingTable"/>
              <w:jc w:val="both"/>
              <w:rPr>
                <w:rFonts w:ascii="Times New Roman" w:hAnsi="Times New Roman"/>
                <w:b w:val="0"/>
                <w:strike/>
                <w:color w:val="000000"/>
                <w:sz w:val="24"/>
              </w:rPr>
            </w:pPr>
            <w:r w:rsidRPr="00C875E8">
              <w:rPr>
                <w:rFonts w:ascii="Times New Roman" w:hAnsi="Times New Roman"/>
                <w:b w:val="0"/>
                <w:sz w:val="24"/>
              </w:rPr>
              <w:t>The amount that the Offeror will have at risk for all Service Level Credits in each month.</w:t>
            </w:r>
          </w:p>
        </w:tc>
      </w:tr>
      <w:tr w:rsidR="00C875E8" w:rsidRPr="00C875E8" w:rsidTr="007B4DF9">
        <w:trPr>
          <w:cantSplit/>
        </w:trPr>
        <w:tc>
          <w:tcPr>
            <w:tcW w:w="1477" w:type="pct"/>
          </w:tcPr>
          <w:p w:rsidR="00C875E8" w:rsidRPr="00C875E8" w:rsidRDefault="00C875E8" w:rsidP="003D54AE">
            <w:pPr>
              <w:autoSpaceDE w:val="0"/>
              <w:autoSpaceDN w:val="0"/>
              <w:adjustRightInd w:val="0"/>
              <w:rPr>
                <w:bCs/>
                <w:sz w:val="24"/>
              </w:rPr>
            </w:pPr>
            <w:r w:rsidRPr="00C875E8">
              <w:rPr>
                <w:sz w:val="24"/>
              </w:rPr>
              <w:t>Availability</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The time a service or application is fully functional (available) to perform the functions it is designed to produce.</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t>Baseline Data</w:t>
            </w:r>
          </w:p>
        </w:tc>
        <w:tc>
          <w:tcPr>
            <w:tcW w:w="3523" w:type="pct"/>
          </w:tcPr>
          <w:p w:rsidR="00C875E8" w:rsidRPr="00C875E8" w:rsidRDefault="00C875E8" w:rsidP="003D54AE">
            <w:pPr>
              <w:pStyle w:val="HeadingTable"/>
              <w:jc w:val="both"/>
              <w:rPr>
                <w:rFonts w:ascii="Times New Roman" w:hAnsi="Times New Roman"/>
                <w:b w:val="0"/>
                <w:color w:val="000000"/>
                <w:sz w:val="24"/>
              </w:rPr>
            </w:pPr>
            <w:r w:rsidRPr="00C875E8">
              <w:rPr>
                <w:rFonts w:ascii="Times New Roman" w:hAnsi="Times New Roman"/>
                <w:b w:val="0"/>
                <w:sz w:val="24"/>
              </w:rPr>
              <w:t>The actual data measured during a Measurement Period or applicable historical data of the Commonwealth.</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color w:val="000000"/>
                <w:sz w:val="24"/>
              </w:rPr>
              <w:lastRenderedPageBreak/>
              <w:t>Baseline Security Risk and Vulnerability Assessment</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color w:val="000000"/>
                <w:sz w:val="24"/>
              </w:rPr>
              <w:t>The assessment of must include a roadmap and project plan to make any required security modifications.</w:t>
            </w:r>
          </w:p>
        </w:tc>
      </w:tr>
      <w:tr w:rsidR="00C875E8" w:rsidRPr="00C875E8" w:rsidTr="007B4DF9">
        <w:trPr>
          <w:cantSplit/>
        </w:trPr>
        <w:tc>
          <w:tcPr>
            <w:tcW w:w="1477" w:type="pct"/>
          </w:tcPr>
          <w:p w:rsidR="00C875E8" w:rsidRPr="00C875E8" w:rsidRDefault="00C875E8" w:rsidP="003D54AE">
            <w:pPr>
              <w:autoSpaceDE w:val="0"/>
              <w:autoSpaceDN w:val="0"/>
              <w:adjustRightInd w:val="0"/>
              <w:rPr>
                <w:bCs/>
                <w:sz w:val="24"/>
              </w:rPr>
            </w:pPr>
            <w:r w:rsidRPr="00C875E8">
              <w:rPr>
                <w:spacing w:val="-3"/>
                <w:sz w:val="24"/>
              </w:rPr>
              <w:t>Benchmark Results</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 xml:space="preserve">The </w:t>
            </w:r>
            <w:r w:rsidRPr="00C875E8">
              <w:rPr>
                <w:rFonts w:ascii="Times New Roman" w:hAnsi="Times New Roman"/>
                <w:b w:val="0"/>
                <w:spacing w:val="-3"/>
                <w:sz w:val="24"/>
              </w:rPr>
              <w:t>details of the Benchmarking Process intended to ensure that Offeror provides Commonwealth with technology and Services at Service Levels equal to or greater than other organizations receiving similar services.</w:t>
            </w:r>
          </w:p>
        </w:tc>
      </w:tr>
      <w:tr w:rsidR="00C875E8" w:rsidRPr="00C875E8" w:rsidTr="007B4DF9">
        <w:trPr>
          <w:cantSplit/>
        </w:trPr>
        <w:tc>
          <w:tcPr>
            <w:tcW w:w="1477" w:type="pct"/>
          </w:tcPr>
          <w:p w:rsidR="00C875E8" w:rsidRPr="00C875E8" w:rsidRDefault="00C875E8" w:rsidP="003D54AE">
            <w:pPr>
              <w:autoSpaceDE w:val="0"/>
              <w:autoSpaceDN w:val="0"/>
              <w:adjustRightInd w:val="0"/>
              <w:rPr>
                <w:bCs/>
                <w:sz w:val="24"/>
              </w:rPr>
            </w:pPr>
            <w:r w:rsidRPr="00C875E8">
              <w:rPr>
                <w:spacing w:val="-3"/>
                <w:sz w:val="24"/>
              </w:rPr>
              <w:t>Benchmark Review Period</w:t>
            </w:r>
            <w:r w:rsidRPr="00C875E8" w:rsidDel="00A52976">
              <w:rPr>
                <w:bCs/>
                <w:sz w:val="24"/>
              </w:rPr>
              <w:t xml:space="preserve"> </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pacing w:val="-3"/>
                <w:sz w:val="24"/>
              </w:rPr>
              <w:t>The period to review such Benchmark Reports to assess the Benchmark Results.</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t>Benchmarker</w:t>
            </w:r>
          </w:p>
        </w:tc>
        <w:tc>
          <w:tcPr>
            <w:tcW w:w="3523" w:type="pct"/>
          </w:tcPr>
          <w:p w:rsidR="00C875E8" w:rsidRPr="00C875E8" w:rsidRDefault="00C875E8" w:rsidP="003D54AE">
            <w:pPr>
              <w:pStyle w:val="HeadingTable"/>
              <w:jc w:val="both"/>
              <w:rPr>
                <w:rFonts w:ascii="Times New Roman" w:hAnsi="Times New Roman"/>
                <w:b w:val="0"/>
                <w:color w:val="000000"/>
                <w:sz w:val="24"/>
              </w:rPr>
            </w:pPr>
            <w:r w:rsidRPr="00C875E8">
              <w:rPr>
                <w:rFonts w:ascii="Times New Roman" w:hAnsi="Times New Roman"/>
                <w:b w:val="0"/>
                <w:sz w:val="24"/>
              </w:rPr>
              <w:t>An independent third-party that undertakes Benchmarking.</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t>Benchmarking</w:t>
            </w:r>
          </w:p>
        </w:tc>
        <w:tc>
          <w:tcPr>
            <w:tcW w:w="3523" w:type="pct"/>
          </w:tcPr>
          <w:p w:rsidR="00C875E8" w:rsidRPr="00C875E8" w:rsidRDefault="00C875E8" w:rsidP="003D54AE">
            <w:pPr>
              <w:pStyle w:val="HeadingTable"/>
              <w:jc w:val="both"/>
              <w:rPr>
                <w:rFonts w:ascii="Times New Roman" w:hAnsi="Times New Roman"/>
                <w:b w:val="0"/>
                <w:color w:val="000000"/>
                <w:sz w:val="24"/>
              </w:rPr>
            </w:pPr>
            <w:r w:rsidRPr="00C875E8">
              <w:rPr>
                <w:rFonts w:ascii="Times New Roman" w:hAnsi="Times New Roman"/>
                <w:b w:val="0"/>
                <w:sz w:val="24"/>
              </w:rPr>
              <w:t>The objective measurement and comparison process (utilizing resource baselines and industry standards) utilized by a Benchmarker to benchmark the quality of the Services and the Fees by Statement of Work or Statement of Works.</w:t>
            </w:r>
          </w:p>
        </w:tc>
      </w:tr>
      <w:tr w:rsidR="00C875E8" w:rsidRPr="00C875E8" w:rsidTr="007B4DF9">
        <w:trPr>
          <w:cantSplit/>
        </w:trPr>
        <w:tc>
          <w:tcPr>
            <w:tcW w:w="1477" w:type="pct"/>
          </w:tcPr>
          <w:p w:rsidR="00C875E8" w:rsidRPr="00C875E8" w:rsidRDefault="00C875E8" w:rsidP="003D54AE">
            <w:pPr>
              <w:autoSpaceDE w:val="0"/>
              <w:autoSpaceDN w:val="0"/>
              <w:adjustRightInd w:val="0"/>
              <w:rPr>
                <w:spacing w:val="-3"/>
                <w:sz w:val="24"/>
              </w:rPr>
            </w:pPr>
            <w:r w:rsidRPr="00C875E8">
              <w:rPr>
                <w:sz w:val="24"/>
              </w:rPr>
              <w:t>Benchmarking Price Protection</w:t>
            </w:r>
          </w:p>
        </w:tc>
        <w:tc>
          <w:tcPr>
            <w:tcW w:w="3523" w:type="pct"/>
          </w:tcPr>
          <w:p w:rsidR="00C875E8" w:rsidRPr="00C875E8" w:rsidRDefault="00C875E8" w:rsidP="00D62254">
            <w:pPr>
              <w:pStyle w:val="HeadingTable"/>
              <w:jc w:val="both"/>
              <w:rPr>
                <w:rFonts w:ascii="Times New Roman" w:hAnsi="Times New Roman"/>
                <w:b w:val="0"/>
                <w:sz w:val="24"/>
              </w:rPr>
            </w:pPr>
            <w:r w:rsidRPr="00C875E8">
              <w:rPr>
                <w:rFonts w:ascii="Times New Roman" w:hAnsi="Times New Roman"/>
                <w:b w:val="0"/>
                <w:sz w:val="24"/>
              </w:rPr>
              <w:t>The process of an objective measurement and comparison process utilizing baseline methods and industry standards to determine pricing as more fully set forth within Section 25 of Appendix A (Terms and Conditions).</w:t>
            </w:r>
          </w:p>
        </w:tc>
      </w:tr>
      <w:tr w:rsidR="00C875E8" w:rsidRPr="00C875E8" w:rsidTr="007B4DF9">
        <w:trPr>
          <w:cantSplit/>
        </w:trPr>
        <w:tc>
          <w:tcPr>
            <w:tcW w:w="1477" w:type="pct"/>
            <w:shd w:val="clear" w:color="auto" w:fill="FFFFFF"/>
          </w:tcPr>
          <w:p w:rsidR="00C875E8" w:rsidRPr="00C875E8" w:rsidRDefault="00C875E8" w:rsidP="003D54AE">
            <w:pPr>
              <w:autoSpaceDE w:val="0"/>
              <w:autoSpaceDN w:val="0"/>
              <w:adjustRightInd w:val="0"/>
              <w:rPr>
                <w:sz w:val="24"/>
              </w:rPr>
            </w:pPr>
            <w:r w:rsidRPr="00C875E8">
              <w:rPr>
                <w:sz w:val="24"/>
              </w:rPr>
              <w:t>Bureau of Small Business Opportunities</w:t>
            </w:r>
            <w:r w:rsidRPr="00C875E8">
              <w:rPr>
                <w:sz w:val="24"/>
              </w:rPr>
              <w:br/>
              <w:t>(BSBO)</w:t>
            </w:r>
          </w:p>
        </w:tc>
        <w:tc>
          <w:tcPr>
            <w:tcW w:w="3523" w:type="pct"/>
            <w:shd w:val="clear" w:color="auto" w:fill="FFFFFF"/>
          </w:tcPr>
          <w:p w:rsidR="00C875E8" w:rsidRPr="00C875E8" w:rsidRDefault="00C875E8" w:rsidP="003D54AE">
            <w:pPr>
              <w:rPr>
                <w:sz w:val="24"/>
              </w:rPr>
            </w:pPr>
            <w:r w:rsidRPr="00C875E8">
              <w:rPr>
                <w:sz w:val="24"/>
              </w:rPr>
              <w:t>A Bureau within the Commonwealth’s Department of General Services responsible for certifying a small diverse businesses as a DGS-certified minority-owned business, woman-owned business, service-disabled veteran-owned business or veteran-owned business, or United States Small Business Administration-certified 8(a) small disadvantaged business concern, that qualifies as a small business.</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t>Business Continuity Plan</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The plan set out to continue business operations of the Commonwealth in the event of a declared disaster.</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sz w:val="24"/>
              </w:rPr>
              <w:t>Business Partner</w:t>
            </w:r>
          </w:p>
        </w:tc>
        <w:tc>
          <w:tcPr>
            <w:tcW w:w="3523" w:type="pct"/>
          </w:tcPr>
          <w:p w:rsidR="00C875E8" w:rsidRPr="00C875E8" w:rsidRDefault="00C875E8" w:rsidP="002C65F6">
            <w:pPr>
              <w:pStyle w:val="HeadingTable"/>
              <w:jc w:val="both"/>
              <w:rPr>
                <w:rFonts w:ascii="Times New Roman" w:hAnsi="Times New Roman"/>
                <w:b w:val="0"/>
                <w:sz w:val="24"/>
              </w:rPr>
            </w:pPr>
            <w:r w:rsidRPr="00C875E8">
              <w:rPr>
                <w:rFonts w:ascii="Times New Roman" w:hAnsi="Times New Roman"/>
                <w:b w:val="0"/>
                <w:sz w:val="24"/>
              </w:rPr>
              <w:t xml:space="preserve">A third party entity that does business with </w:t>
            </w:r>
            <w:r w:rsidRPr="00C875E8">
              <w:rPr>
                <w:rFonts w:ascii="Times New Roman" w:hAnsi="Times New Roman"/>
                <w:b w:val="0"/>
                <w:sz w:val="24"/>
                <w:szCs w:val="16"/>
              </w:rPr>
              <w:t>the Commonwealth.</w:t>
            </w:r>
          </w:p>
        </w:tc>
      </w:tr>
      <w:tr w:rsidR="00C875E8" w:rsidRPr="00C875E8" w:rsidTr="007B4DF9">
        <w:trPr>
          <w:cantSplit/>
        </w:trPr>
        <w:tc>
          <w:tcPr>
            <w:tcW w:w="1477" w:type="pct"/>
          </w:tcPr>
          <w:p w:rsidR="00C875E8" w:rsidRPr="00C875E8" w:rsidRDefault="00C875E8" w:rsidP="003D54AE">
            <w:pPr>
              <w:autoSpaceDE w:val="0"/>
              <w:autoSpaceDN w:val="0"/>
              <w:adjustRightInd w:val="0"/>
              <w:rPr>
                <w:bCs/>
                <w:sz w:val="24"/>
              </w:rPr>
            </w:pPr>
            <w:r w:rsidRPr="00C875E8">
              <w:rPr>
                <w:bCs/>
                <w:sz w:val="24"/>
              </w:rPr>
              <w:t>Capacity On Demand</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A type of Service that its capacity can be modified in an automated process with a short implementation time.</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sz w:val="24"/>
              </w:rPr>
              <w:t>Card Holder Data</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Credit card records or record systems containing cardholder data including credit card numbers.</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lastRenderedPageBreak/>
              <w:t>Change</w:t>
            </w:r>
          </w:p>
        </w:tc>
        <w:tc>
          <w:tcPr>
            <w:tcW w:w="3523" w:type="pct"/>
          </w:tcPr>
          <w:p w:rsidR="00C875E8" w:rsidRPr="00C875E8" w:rsidRDefault="00C875E8" w:rsidP="00AB2E30">
            <w:pPr>
              <w:pStyle w:val="HeadingTable"/>
              <w:jc w:val="both"/>
              <w:rPr>
                <w:rFonts w:ascii="Times New Roman" w:hAnsi="Times New Roman"/>
                <w:b w:val="0"/>
                <w:color w:val="000000"/>
                <w:sz w:val="24"/>
              </w:rPr>
            </w:pPr>
            <w:r w:rsidRPr="00C875E8">
              <w:rPr>
                <w:rFonts w:ascii="Times New Roman" w:hAnsi="Times New Roman"/>
                <w:b w:val="0"/>
                <w:sz w:val="24"/>
              </w:rPr>
              <w:t>An alteration in specifications, services, delivery point, rate of delivery, period of performance, price, or other provisions of the Contract changes accomplished by mutual action of the parties to the Contract.</w:t>
            </w:r>
          </w:p>
        </w:tc>
      </w:tr>
      <w:tr w:rsidR="00C875E8" w:rsidRPr="00C875E8" w:rsidTr="007B4DF9">
        <w:trPr>
          <w:cantSplit/>
        </w:trPr>
        <w:tc>
          <w:tcPr>
            <w:tcW w:w="1477" w:type="pct"/>
          </w:tcPr>
          <w:p w:rsidR="00C875E8" w:rsidRPr="00C875E8" w:rsidRDefault="00C875E8" w:rsidP="003D54AE">
            <w:pPr>
              <w:rPr>
                <w:sz w:val="24"/>
              </w:rPr>
            </w:pPr>
            <w:r w:rsidRPr="00C875E8">
              <w:rPr>
                <w:sz w:val="24"/>
              </w:rPr>
              <w:t xml:space="preserve">Change Advisory Board </w:t>
            </w:r>
          </w:p>
        </w:tc>
        <w:tc>
          <w:tcPr>
            <w:tcW w:w="3523" w:type="pct"/>
          </w:tcPr>
          <w:p w:rsidR="00C875E8" w:rsidRPr="00C875E8" w:rsidRDefault="00C875E8" w:rsidP="00D62254">
            <w:pPr>
              <w:pStyle w:val="HeadingTable"/>
              <w:jc w:val="both"/>
              <w:rPr>
                <w:rFonts w:ascii="Times New Roman" w:hAnsi="Times New Roman"/>
                <w:b w:val="0"/>
                <w:sz w:val="24"/>
              </w:rPr>
            </w:pPr>
            <w:r w:rsidRPr="00C875E8">
              <w:rPr>
                <w:rFonts w:ascii="Times New Roman" w:hAnsi="Times New Roman"/>
                <w:b w:val="0"/>
                <w:sz w:val="24"/>
              </w:rPr>
              <w:t>A group of individuals authorized to approve or reject individual service and infrastructure changes and to set and guide the Change process.</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t>Change Control Procedures</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The procedures used to modify sections of the Contract or modify the configuration of an infrastructure component of a Service.</w:t>
            </w:r>
          </w:p>
        </w:tc>
      </w:tr>
      <w:tr w:rsidR="00C875E8" w:rsidRPr="00C875E8" w:rsidTr="007B4DF9">
        <w:trPr>
          <w:cantSplit/>
        </w:trPr>
        <w:tc>
          <w:tcPr>
            <w:tcW w:w="1477" w:type="pct"/>
          </w:tcPr>
          <w:p w:rsidR="00C875E8" w:rsidRPr="00C875E8" w:rsidRDefault="00C875E8" w:rsidP="003D54AE">
            <w:pPr>
              <w:rPr>
                <w:sz w:val="24"/>
              </w:rPr>
            </w:pPr>
            <w:r w:rsidRPr="00C875E8">
              <w:rPr>
                <w:sz w:val="24"/>
              </w:rPr>
              <w:t>Change Management</w:t>
            </w:r>
          </w:p>
        </w:tc>
        <w:tc>
          <w:tcPr>
            <w:tcW w:w="3523" w:type="pct"/>
          </w:tcPr>
          <w:p w:rsidR="00C875E8" w:rsidRPr="00C875E8" w:rsidRDefault="00C875E8" w:rsidP="00F74C21">
            <w:pPr>
              <w:pStyle w:val="HeadingTable"/>
              <w:jc w:val="both"/>
              <w:rPr>
                <w:rFonts w:ascii="Times New Roman" w:hAnsi="Times New Roman"/>
                <w:b w:val="0"/>
                <w:sz w:val="24"/>
              </w:rPr>
            </w:pPr>
            <w:r w:rsidRPr="00C875E8">
              <w:rPr>
                <w:rFonts w:ascii="Times New Roman" w:hAnsi="Times New Roman"/>
                <w:b w:val="0"/>
                <w:sz w:val="24"/>
              </w:rPr>
              <w:t>The process responsible for controlling the lifecycle of all changes, enabling beneficial changes to be made with minimum interruption to the Services.</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t>Change Order</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The documentation used to request, validate, negotiate and approve a change to the sections of the Contract.</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t>Change Proposal</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The document presented to the Commonwealth by the Offeror to start the Change Control Procedures.</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t>Change Request</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The type of request created and processed within the Commonwealth’s ITSM system to request authorization to modify an infrastructure component of a Service.</w:t>
            </w:r>
          </w:p>
        </w:tc>
      </w:tr>
      <w:tr w:rsidR="00C875E8" w:rsidRPr="00C875E8" w:rsidTr="007B4DF9">
        <w:trPr>
          <w:cantSplit/>
        </w:trPr>
        <w:tc>
          <w:tcPr>
            <w:tcW w:w="1477" w:type="pct"/>
          </w:tcPr>
          <w:p w:rsidR="00C875E8" w:rsidRPr="00C875E8" w:rsidRDefault="00C875E8" w:rsidP="003D54AE">
            <w:pPr>
              <w:autoSpaceDE w:val="0"/>
              <w:autoSpaceDN w:val="0"/>
              <w:adjustRightInd w:val="0"/>
              <w:rPr>
                <w:bCs/>
                <w:sz w:val="24"/>
              </w:rPr>
            </w:pPr>
            <w:r w:rsidRPr="00C875E8">
              <w:rPr>
                <w:sz w:val="24"/>
              </w:rPr>
              <w:t>Co-location</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The capability to provide space, power, and cooling to an asset that is not owned by the Offeror.</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sz w:val="24"/>
              </w:rPr>
              <w:t>Comma Separated Values</w:t>
            </w:r>
            <w:r w:rsidRPr="00C875E8">
              <w:rPr>
                <w:sz w:val="24"/>
              </w:rPr>
              <w:br/>
              <w:t>(CSV)</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A type of Text file where the values are delineated with a comma.</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t>Commonwealth</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The Commonwealth of Pennsylvania.</w:t>
            </w:r>
          </w:p>
        </w:tc>
      </w:tr>
      <w:tr w:rsidR="00C875E8" w:rsidRPr="00C875E8" w:rsidTr="007B4DF9">
        <w:trPr>
          <w:cantSplit/>
        </w:trPr>
        <w:tc>
          <w:tcPr>
            <w:tcW w:w="1477" w:type="pct"/>
          </w:tcPr>
          <w:p w:rsidR="00C875E8" w:rsidRPr="00C875E8" w:rsidRDefault="00C875E8" w:rsidP="003D54AE">
            <w:pPr>
              <w:autoSpaceDE w:val="0"/>
              <w:autoSpaceDN w:val="0"/>
              <w:adjustRightInd w:val="0"/>
              <w:rPr>
                <w:bCs/>
                <w:sz w:val="24"/>
              </w:rPr>
            </w:pPr>
            <w:r w:rsidRPr="00C875E8">
              <w:rPr>
                <w:sz w:val="24"/>
              </w:rPr>
              <w:t>Commonwealth Computing Procedures Manual</w:t>
            </w:r>
            <w:r w:rsidRPr="00C875E8">
              <w:rPr>
                <w:sz w:val="24"/>
              </w:rPr>
              <w:br/>
              <w:t>(CCPM)</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A date detailed description of all processes and procedures used to support the computing needs of the Commonwealth via the Offerors Knowledge/Service Portal.  The CCPM contains specific sections dedicated to the operational procedures for each Commonwealth datacenter customer.</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t>Commonwealth Computing Services</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 xml:space="preserve">The centralized computing capabilities of the Commonwealth that includes Mainframe, Midrange and x86 based servers and the supporting infrastructure. </w:t>
            </w:r>
          </w:p>
        </w:tc>
      </w:tr>
      <w:tr w:rsidR="00C875E8" w:rsidRPr="00C875E8" w:rsidTr="009D797F">
        <w:trPr>
          <w:cantSplit/>
        </w:trPr>
        <w:tc>
          <w:tcPr>
            <w:tcW w:w="1477" w:type="pct"/>
            <w:tcBorders>
              <w:bottom w:val="single" w:sz="4" w:space="0" w:color="000000"/>
            </w:tcBorders>
          </w:tcPr>
          <w:p w:rsidR="00C875E8" w:rsidRPr="00C875E8" w:rsidRDefault="00C875E8" w:rsidP="003D54AE">
            <w:pPr>
              <w:autoSpaceDE w:val="0"/>
              <w:autoSpaceDN w:val="0"/>
              <w:adjustRightInd w:val="0"/>
              <w:rPr>
                <w:sz w:val="24"/>
              </w:rPr>
            </w:pPr>
            <w:r w:rsidRPr="00C875E8">
              <w:rPr>
                <w:bCs/>
                <w:sz w:val="24"/>
              </w:rPr>
              <w:lastRenderedPageBreak/>
              <w:t>Commonwealth Contracting Officer</w:t>
            </w:r>
          </w:p>
        </w:tc>
        <w:tc>
          <w:tcPr>
            <w:tcW w:w="3523" w:type="pct"/>
            <w:tcBorders>
              <w:bottom w:val="single" w:sz="4" w:space="0" w:color="000000"/>
            </w:tcBorders>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The person authorized to administer this Contract for the Commonwealth and to make written determinations with respect to the Contract.</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t>Commonwealth Customers</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The end users deriving benefits from the services provided from this contract.</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t>Commonwealth Project Manager</w:t>
            </w:r>
          </w:p>
        </w:tc>
        <w:tc>
          <w:tcPr>
            <w:tcW w:w="3523" w:type="pct"/>
          </w:tcPr>
          <w:p w:rsidR="00C875E8" w:rsidRPr="00C875E8" w:rsidRDefault="00C875E8" w:rsidP="00D62254">
            <w:pPr>
              <w:pStyle w:val="HeadingTable"/>
              <w:jc w:val="both"/>
              <w:rPr>
                <w:rFonts w:ascii="Times New Roman" w:hAnsi="Times New Roman"/>
                <w:b w:val="0"/>
                <w:sz w:val="24"/>
              </w:rPr>
            </w:pPr>
            <w:r w:rsidRPr="00C875E8">
              <w:rPr>
                <w:rFonts w:ascii="Times New Roman" w:hAnsi="Times New Roman"/>
                <w:b w:val="0"/>
                <w:sz w:val="24"/>
              </w:rPr>
              <w:t>The individual within the Commonwealth that is responsible for managing the Contract</w:t>
            </w:r>
            <w:r w:rsidRPr="00C875E8">
              <w:rPr>
                <w:rStyle w:val="CommentReference"/>
              </w:rPr>
              <w:t>.</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spacing w:val="-3"/>
                <w:sz w:val="24"/>
              </w:rPr>
              <w:t>Commonwealth Proprietary Software</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pacing w:val="-3"/>
                <w:sz w:val="24"/>
              </w:rPr>
              <w:t>The software owned by the Commonwealth.</w:t>
            </w:r>
          </w:p>
        </w:tc>
      </w:tr>
      <w:tr w:rsidR="00C875E8" w:rsidRPr="00C875E8" w:rsidTr="007B4DF9">
        <w:trPr>
          <w:cantSplit/>
        </w:trPr>
        <w:tc>
          <w:tcPr>
            <w:tcW w:w="1477" w:type="pct"/>
          </w:tcPr>
          <w:p w:rsidR="00C875E8" w:rsidRPr="00C875E8" w:rsidRDefault="00C875E8" w:rsidP="003D54AE">
            <w:pPr>
              <w:autoSpaceDE w:val="0"/>
              <w:autoSpaceDN w:val="0"/>
              <w:adjustRightInd w:val="0"/>
              <w:rPr>
                <w:bCs/>
                <w:sz w:val="24"/>
              </w:rPr>
            </w:pPr>
            <w:r w:rsidRPr="00C875E8">
              <w:rPr>
                <w:bCs/>
                <w:sz w:val="24"/>
              </w:rPr>
              <w:t>Commonwealth Technology Center</w:t>
            </w:r>
            <w:r w:rsidRPr="00C875E8">
              <w:rPr>
                <w:bCs/>
                <w:sz w:val="24"/>
              </w:rPr>
              <w:br/>
              <w:t>(CTC)</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The Commonwealth’s datacenter and adjacent offices located at 1 Technology Park Drive, Harrisburg, PA 17110.</w:t>
            </w:r>
          </w:p>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Also known as “1 Tech Park” or the EDC.</w:t>
            </w:r>
          </w:p>
        </w:tc>
      </w:tr>
      <w:tr w:rsidR="00A5488C" w:rsidRPr="00C875E8" w:rsidTr="007B4DF9">
        <w:trPr>
          <w:cantSplit/>
        </w:trPr>
        <w:tc>
          <w:tcPr>
            <w:tcW w:w="1477" w:type="pct"/>
          </w:tcPr>
          <w:p w:rsidR="00A5488C" w:rsidRPr="00C875E8" w:rsidRDefault="00A5488C" w:rsidP="003D54AE">
            <w:pPr>
              <w:autoSpaceDE w:val="0"/>
              <w:autoSpaceDN w:val="0"/>
              <w:adjustRightInd w:val="0"/>
              <w:rPr>
                <w:bCs/>
                <w:sz w:val="24"/>
              </w:rPr>
            </w:pPr>
            <w:r>
              <w:rPr>
                <w:bCs/>
                <w:sz w:val="24"/>
              </w:rPr>
              <w:t>Commonwealth Third Party Software</w:t>
            </w:r>
          </w:p>
        </w:tc>
        <w:tc>
          <w:tcPr>
            <w:tcW w:w="3523" w:type="pct"/>
          </w:tcPr>
          <w:p w:rsidR="00A5488C" w:rsidRPr="00C875E8" w:rsidRDefault="002D0505" w:rsidP="003D54AE">
            <w:pPr>
              <w:pStyle w:val="HeadingTable"/>
              <w:jc w:val="both"/>
              <w:rPr>
                <w:rFonts w:ascii="Times New Roman" w:hAnsi="Times New Roman"/>
                <w:b w:val="0"/>
                <w:sz w:val="24"/>
              </w:rPr>
            </w:pPr>
            <w:r>
              <w:rPr>
                <w:rFonts w:ascii="Times New Roman" w:hAnsi="Times New Roman"/>
                <w:b w:val="0"/>
                <w:sz w:val="24"/>
              </w:rPr>
              <w:t>Third Party Software for which the Commonwealth has a valid license and current maintenance agreement.</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t>Confidential Information</w:t>
            </w:r>
            <w:r w:rsidRPr="00C875E8">
              <w:rPr>
                <w:sz w:val="24"/>
              </w:rPr>
              <w:t>.</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With regard to the Commonwealth, the data and other information of the Commonwealth or any private individual, organization or public agency, in each case to the extent such information and documentation is not permitted to be disclosed to third parties under local, Commonwealth or Federal laws and regulations or pursuant to any policy adopted by the Commonwealth or pursuant to the terms of any third-party agreement to which Commonwealth is a party.</w:t>
            </w:r>
          </w:p>
          <w:p w:rsidR="00C875E8" w:rsidRPr="00C875E8" w:rsidRDefault="00C875E8" w:rsidP="0026102C">
            <w:pPr>
              <w:pStyle w:val="HeadingTable"/>
              <w:jc w:val="both"/>
              <w:rPr>
                <w:rFonts w:ascii="Times New Roman" w:hAnsi="Times New Roman"/>
                <w:b w:val="0"/>
                <w:sz w:val="24"/>
              </w:rPr>
            </w:pPr>
            <w:r w:rsidRPr="00C875E8">
              <w:rPr>
                <w:rFonts w:ascii="Times New Roman" w:hAnsi="Times New Roman"/>
                <w:b w:val="0"/>
                <w:sz w:val="24"/>
              </w:rPr>
              <w:t xml:space="preserve">With regard to the </w:t>
            </w:r>
            <w:r w:rsidR="0026102C">
              <w:rPr>
                <w:rFonts w:ascii="Times New Roman" w:hAnsi="Times New Roman"/>
                <w:b w:val="0"/>
                <w:sz w:val="24"/>
              </w:rPr>
              <w:t>Contractor</w:t>
            </w:r>
            <w:r w:rsidRPr="00C875E8">
              <w:rPr>
                <w:rFonts w:ascii="Times New Roman" w:hAnsi="Times New Roman"/>
                <w:b w:val="0"/>
                <w:sz w:val="24"/>
              </w:rPr>
              <w:t xml:space="preserve">, all </w:t>
            </w:r>
            <w:r w:rsidR="0026102C">
              <w:rPr>
                <w:rFonts w:ascii="Times New Roman" w:hAnsi="Times New Roman"/>
                <w:b w:val="0"/>
                <w:sz w:val="24"/>
              </w:rPr>
              <w:t>Contractor</w:t>
            </w:r>
            <w:r w:rsidR="0026102C" w:rsidRPr="00C875E8">
              <w:rPr>
                <w:rFonts w:ascii="Times New Roman" w:hAnsi="Times New Roman"/>
                <w:b w:val="0"/>
                <w:sz w:val="24"/>
              </w:rPr>
              <w:t xml:space="preserve"> </w:t>
            </w:r>
            <w:r w:rsidRPr="00C875E8">
              <w:rPr>
                <w:rFonts w:ascii="Times New Roman" w:hAnsi="Times New Roman"/>
                <w:b w:val="0"/>
                <w:sz w:val="24"/>
              </w:rPr>
              <w:t xml:space="preserve">Software and all </w:t>
            </w:r>
            <w:r w:rsidR="0026102C">
              <w:rPr>
                <w:rFonts w:ascii="Times New Roman" w:hAnsi="Times New Roman"/>
                <w:b w:val="0"/>
                <w:sz w:val="24"/>
              </w:rPr>
              <w:t>Contractor</w:t>
            </w:r>
            <w:r w:rsidR="0026102C" w:rsidRPr="00C875E8">
              <w:rPr>
                <w:rFonts w:ascii="Times New Roman" w:hAnsi="Times New Roman"/>
                <w:b w:val="0"/>
                <w:sz w:val="24"/>
              </w:rPr>
              <w:t xml:space="preserve"> </w:t>
            </w:r>
            <w:r w:rsidRPr="00C875E8">
              <w:rPr>
                <w:rFonts w:ascii="Times New Roman" w:hAnsi="Times New Roman"/>
                <w:b w:val="0"/>
                <w:sz w:val="24"/>
              </w:rPr>
              <w:t xml:space="preserve">documentation and manuals not made available in the ordinary course of business (except those items developed by </w:t>
            </w:r>
            <w:r w:rsidR="0026102C">
              <w:rPr>
                <w:rFonts w:ascii="Times New Roman" w:hAnsi="Times New Roman"/>
                <w:b w:val="0"/>
                <w:sz w:val="24"/>
              </w:rPr>
              <w:t>Contractor</w:t>
            </w:r>
            <w:r w:rsidRPr="00C875E8">
              <w:rPr>
                <w:rFonts w:ascii="Times New Roman" w:hAnsi="Times New Roman"/>
                <w:b w:val="0"/>
                <w:sz w:val="24"/>
              </w:rPr>
              <w:t xml:space="preserve"> specifically to deliver Services to the Commonwealth pursuant to this Contract), and any other information identified in writing by </w:t>
            </w:r>
            <w:r w:rsidR="0026102C">
              <w:rPr>
                <w:rFonts w:ascii="Times New Roman" w:hAnsi="Times New Roman"/>
                <w:b w:val="0"/>
                <w:sz w:val="24"/>
              </w:rPr>
              <w:t>Contractor</w:t>
            </w:r>
            <w:r w:rsidR="0026102C" w:rsidRPr="00C875E8">
              <w:rPr>
                <w:rFonts w:ascii="Times New Roman" w:hAnsi="Times New Roman"/>
                <w:b w:val="0"/>
                <w:sz w:val="24"/>
              </w:rPr>
              <w:t xml:space="preserve"> </w:t>
            </w:r>
            <w:r w:rsidRPr="00C875E8">
              <w:rPr>
                <w:rFonts w:ascii="Times New Roman" w:hAnsi="Times New Roman"/>
                <w:b w:val="0"/>
                <w:sz w:val="24"/>
              </w:rPr>
              <w:t xml:space="preserve">as confidential or proprietary to </w:t>
            </w:r>
            <w:r w:rsidR="0026102C">
              <w:rPr>
                <w:rFonts w:ascii="Times New Roman" w:hAnsi="Times New Roman"/>
                <w:b w:val="0"/>
                <w:sz w:val="24"/>
              </w:rPr>
              <w:t>Contractor</w:t>
            </w:r>
            <w:r w:rsidRPr="00C875E8">
              <w:rPr>
                <w:rFonts w:ascii="Times New Roman" w:hAnsi="Times New Roman"/>
                <w:b w:val="0"/>
                <w:sz w:val="24"/>
              </w:rPr>
              <w:t>, its subcontractors or licensors.</w:t>
            </w:r>
          </w:p>
        </w:tc>
      </w:tr>
      <w:tr w:rsidR="00C875E8" w:rsidRPr="00C875E8" w:rsidTr="007B4DF9">
        <w:trPr>
          <w:cantSplit/>
        </w:trPr>
        <w:tc>
          <w:tcPr>
            <w:tcW w:w="1477" w:type="pct"/>
            <w:shd w:val="clear" w:color="auto" w:fill="FFFFFF"/>
          </w:tcPr>
          <w:p w:rsidR="00C875E8" w:rsidRPr="00C875E8" w:rsidRDefault="00C875E8" w:rsidP="003D54AE">
            <w:pPr>
              <w:autoSpaceDE w:val="0"/>
              <w:autoSpaceDN w:val="0"/>
              <w:adjustRightInd w:val="0"/>
              <w:rPr>
                <w:sz w:val="24"/>
              </w:rPr>
            </w:pPr>
            <w:r w:rsidRPr="00C875E8">
              <w:rPr>
                <w:sz w:val="24"/>
              </w:rPr>
              <w:t>Confidential Proprietary Information</w:t>
            </w:r>
          </w:p>
        </w:tc>
        <w:tc>
          <w:tcPr>
            <w:tcW w:w="3523" w:type="pct"/>
            <w:shd w:val="clear" w:color="auto" w:fill="FFFFFF"/>
          </w:tcPr>
          <w:p w:rsidR="00C875E8" w:rsidRPr="00C875E8" w:rsidRDefault="00C875E8" w:rsidP="0026102C">
            <w:pPr>
              <w:pStyle w:val="HeadingTable"/>
              <w:jc w:val="both"/>
              <w:rPr>
                <w:rFonts w:ascii="Times New Roman" w:hAnsi="Times New Roman"/>
                <w:b w:val="0"/>
                <w:sz w:val="24"/>
              </w:rPr>
            </w:pPr>
            <w:r w:rsidRPr="00C875E8">
              <w:rPr>
                <w:rFonts w:ascii="Times New Roman" w:hAnsi="Times New Roman"/>
                <w:b w:val="0"/>
                <w:sz w:val="24"/>
              </w:rPr>
              <w:t xml:space="preserve">All </w:t>
            </w:r>
            <w:r w:rsidR="0026102C">
              <w:rPr>
                <w:rFonts w:ascii="Times New Roman" w:hAnsi="Times New Roman"/>
                <w:b w:val="0"/>
                <w:sz w:val="24"/>
              </w:rPr>
              <w:t>Contractor</w:t>
            </w:r>
            <w:r w:rsidRPr="00C875E8">
              <w:rPr>
                <w:rFonts w:ascii="Times New Roman" w:hAnsi="Times New Roman"/>
                <w:b w:val="0"/>
                <w:sz w:val="24"/>
              </w:rPr>
              <w:t xml:space="preserve"> Software and all </w:t>
            </w:r>
            <w:r w:rsidR="0026102C">
              <w:rPr>
                <w:rFonts w:ascii="Times New Roman" w:hAnsi="Times New Roman"/>
                <w:b w:val="0"/>
                <w:sz w:val="24"/>
              </w:rPr>
              <w:t>Contractor</w:t>
            </w:r>
            <w:r w:rsidR="0026102C" w:rsidRPr="00C875E8">
              <w:rPr>
                <w:rFonts w:ascii="Times New Roman" w:hAnsi="Times New Roman"/>
                <w:b w:val="0"/>
                <w:sz w:val="24"/>
              </w:rPr>
              <w:t xml:space="preserve"> </w:t>
            </w:r>
            <w:r w:rsidRPr="00C875E8">
              <w:rPr>
                <w:rFonts w:ascii="Times New Roman" w:hAnsi="Times New Roman"/>
                <w:b w:val="0"/>
                <w:sz w:val="24"/>
              </w:rPr>
              <w:t xml:space="preserve">documentation and manuals not made available in the ordinary course of business (except those items developed by </w:t>
            </w:r>
            <w:r w:rsidR="0026102C">
              <w:rPr>
                <w:rFonts w:ascii="Times New Roman" w:hAnsi="Times New Roman"/>
                <w:b w:val="0"/>
                <w:sz w:val="24"/>
              </w:rPr>
              <w:t>Contractor</w:t>
            </w:r>
            <w:r w:rsidR="0026102C" w:rsidRPr="00C875E8">
              <w:rPr>
                <w:rFonts w:ascii="Times New Roman" w:hAnsi="Times New Roman"/>
                <w:b w:val="0"/>
                <w:sz w:val="24"/>
              </w:rPr>
              <w:t xml:space="preserve"> </w:t>
            </w:r>
            <w:r w:rsidRPr="00C875E8">
              <w:rPr>
                <w:rFonts w:ascii="Times New Roman" w:hAnsi="Times New Roman"/>
                <w:b w:val="0"/>
                <w:sz w:val="24"/>
              </w:rPr>
              <w:t xml:space="preserve">specifically to deliver Services to the Commonwealth pursuant to this Contract), and any other information identified in writing by </w:t>
            </w:r>
            <w:r w:rsidR="0026102C">
              <w:rPr>
                <w:rFonts w:ascii="Times New Roman" w:hAnsi="Times New Roman"/>
                <w:b w:val="0"/>
                <w:sz w:val="24"/>
              </w:rPr>
              <w:t>Contractor</w:t>
            </w:r>
            <w:r w:rsidR="0026102C" w:rsidRPr="00C875E8">
              <w:rPr>
                <w:rFonts w:ascii="Times New Roman" w:hAnsi="Times New Roman"/>
                <w:b w:val="0"/>
                <w:sz w:val="24"/>
              </w:rPr>
              <w:t xml:space="preserve"> </w:t>
            </w:r>
            <w:r w:rsidRPr="00C875E8">
              <w:rPr>
                <w:rFonts w:ascii="Times New Roman" w:hAnsi="Times New Roman"/>
                <w:b w:val="0"/>
                <w:sz w:val="24"/>
              </w:rPr>
              <w:t xml:space="preserve">as confidential or proprietary to </w:t>
            </w:r>
            <w:r w:rsidR="0026102C">
              <w:rPr>
                <w:rFonts w:ascii="Times New Roman" w:hAnsi="Times New Roman"/>
                <w:b w:val="0"/>
                <w:sz w:val="24"/>
              </w:rPr>
              <w:t>Contractor</w:t>
            </w:r>
            <w:r w:rsidRPr="00C875E8">
              <w:rPr>
                <w:rFonts w:ascii="Times New Roman" w:hAnsi="Times New Roman"/>
                <w:b w:val="0"/>
                <w:sz w:val="24"/>
              </w:rPr>
              <w:t>, its subcontractors or licensors.</w:t>
            </w:r>
          </w:p>
        </w:tc>
      </w:tr>
      <w:tr w:rsidR="00C875E8" w:rsidRPr="00C875E8" w:rsidTr="007B4DF9">
        <w:trPr>
          <w:cantSplit/>
        </w:trPr>
        <w:tc>
          <w:tcPr>
            <w:tcW w:w="1477" w:type="pct"/>
          </w:tcPr>
          <w:p w:rsidR="00C875E8" w:rsidRPr="00C875E8" w:rsidRDefault="00C875E8" w:rsidP="003D54AE">
            <w:pPr>
              <w:autoSpaceDE w:val="0"/>
              <w:autoSpaceDN w:val="0"/>
              <w:adjustRightInd w:val="0"/>
              <w:rPr>
                <w:bCs/>
                <w:sz w:val="24"/>
              </w:rPr>
            </w:pPr>
            <w:r w:rsidRPr="00C875E8">
              <w:rPr>
                <w:sz w:val="24"/>
              </w:rPr>
              <w:lastRenderedPageBreak/>
              <w:t>Configuration Items</w:t>
            </w:r>
            <w:r w:rsidRPr="00C875E8">
              <w:rPr>
                <w:sz w:val="24"/>
              </w:rPr>
              <w:br/>
              <w:t>(CI)</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The database record(s) indicating the interrelationships and configuration of a service, hardware component, application, and software</w:t>
            </w:r>
          </w:p>
        </w:tc>
      </w:tr>
      <w:tr w:rsidR="00C875E8" w:rsidRPr="00C875E8" w:rsidTr="007B4DF9">
        <w:trPr>
          <w:cantSplit/>
        </w:trPr>
        <w:tc>
          <w:tcPr>
            <w:tcW w:w="1477" w:type="pct"/>
          </w:tcPr>
          <w:p w:rsidR="00C875E8" w:rsidRPr="00C875E8" w:rsidRDefault="00C875E8" w:rsidP="003D54AE">
            <w:pPr>
              <w:rPr>
                <w:bCs/>
                <w:sz w:val="24"/>
              </w:rPr>
            </w:pPr>
            <w:r w:rsidRPr="00C875E8">
              <w:rPr>
                <w:sz w:val="24"/>
              </w:rPr>
              <w:t>Configuration Management Database</w:t>
            </w:r>
            <w:r w:rsidRPr="00C875E8">
              <w:rPr>
                <w:sz w:val="24"/>
              </w:rPr>
              <w:br/>
              <w:t>(CMDB)</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The repository of configuration information related to all the components of the Offeror’s datacenter services solution.  It contains the details of each of the configuration items (CI) in the IT infrastructure. The CMDB helps provide the relationships between these components (e.g. Application Infrastructure) and track their configuration. The CMDB is a fundamental component of the ITIL framework's Configuration Management process.</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t>Contract</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Means the agreement for provision of Services executed on [ ] between Offeror and Commonwealth of which this document is a part of.</w:t>
            </w:r>
          </w:p>
        </w:tc>
      </w:tr>
      <w:tr w:rsidR="00C875E8" w:rsidRPr="00C875E8" w:rsidTr="009D797F">
        <w:trPr>
          <w:cantSplit/>
        </w:trPr>
        <w:tc>
          <w:tcPr>
            <w:tcW w:w="1477" w:type="pct"/>
            <w:shd w:val="clear" w:color="auto" w:fill="FFFFFF"/>
          </w:tcPr>
          <w:p w:rsidR="00C875E8" w:rsidRPr="00C875E8" w:rsidRDefault="00C875E8" w:rsidP="003D54AE">
            <w:pPr>
              <w:autoSpaceDE w:val="0"/>
              <w:autoSpaceDN w:val="0"/>
              <w:adjustRightInd w:val="0"/>
              <w:rPr>
                <w:bCs/>
                <w:i/>
                <w:sz w:val="24"/>
              </w:rPr>
            </w:pPr>
            <w:r w:rsidRPr="00C875E8">
              <w:rPr>
                <w:bCs/>
                <w:i/>
                <w:sz w:val="24"/>
              </w:rPr>
              <w:t>Contractor</w:t>
            </w:r>
          </w:p>
        </w:tc>
        <w:tc>
          <w:tcPr>
            <w:tcW w:w="3523" w:type="pct"/>
            <w:shd w:val="clear" w:color="auto" w:fill="FFFFFF"/>
          </w:tcPr>
          <w:p w:rsidR="00C875E8" w:rsidRPr="00C875E8" w:rsidRDefault="00C875E8" w:rsidP="003D54AE">
            <w:pPr>
              <w:pStyle w:val="HeadingTable"/>
              <w:jc w:val="both"/>
              <w:rPr>
                <w:rFonts w:ascii="Times New Roman" w:hAnsi="Times New Roman"/>
                <w:b w:val="0"/>
                <w:i/>
                <w:sz w:val="24"/>
              </w:rPr>
            </w:pPr>
            <w:r w:rsidRPr="00C875E8">
              <w:rPr>
                <w:rFonts w:ascii="Times New Roman" w:hAnsi="Times New Roman"/>
                <w:b w:val="0"/>
                <w:i/>
                <w:sz w:val="24"/>
              </w:rPr>
              <w:t>The Offeror awarded the Contract.</w:t>
            </w:r>
          </w:p>
        </w:tc>
      </w:tr>
      <w:tr w:rsidR="002D0505" w:rsidRPr="00C875E8" w:rsidTr="009D797F">
        <w:trPr>
          <w:cantSplit/>
        </w:trPr>
        <w:tc>
          <w:tcPr>
            <w:tcW w:w="1477" w:type="pct"/>
            <w:shd w:val="clear" w:color="auto" w:fill="FFFFFF"/>
          </w:tcPr>
          <w:p w:rsidR="002D0505" w:rsidRPr="002D0505" w:rsidRDefault="00D927CD" w:rsidP="00B96CB7">
            <w:pPr>
              <w:autoSpaceDE w:val="0"/>
              <w:autoSpaceDN w:val="0"/>
              <w:adjustRightInd w:val="0"/>
              <w:rPr>
                <w:bCs/>
                <w:sz w:val="24"/>
              </w:rPr>
            </w:pPr>
            <w:r w:rsidRPr="00D927CD">
              <w:rPr>
                <w:bCs/>
                <w:sz w:val="24"/>
              </w:rPr>
              <w:t>Contractor Software</w:t>
            </w:r>
          </w:p>
        </w:tc>
        <w:tc>
          <w:tcPr>
            <w:tcW w:w="3523" w:type="pct"/>
            <w:shd w:val="clear" w:color="auto" w:fill="FFFFFF"/>
          </w:tcPr>
          <w:p w:rsidR="002D0505" w:rsidRPr="00C875E8" w:rsidRDefault="00B96CB7" w:rsidP="002D0505">
            <w:pPr>
              <w:pStyle w:val="HeadingTable"/>
              <w:jc w:val="both"/>
              <w:rPr>
                <w:rFonts w:ascii="Times New Roman" w:hAnsi="Times New Roman"/>
                <w:b w:val="0"/>
                <w:i/>
                <w:sz w:val="24"/>
              </w:rPr>
            </w:pPr>
            <w:r>
              <w:rPr>
                <w:rFonts w:ascii="Times New Roman" w:hAnsi="Times New Roman"/>
                <w:b w:val="0"/>
                <w:sz w:val="24"/>
              </w:rPr>
              <w:t>The software owned by the Contractor.</w:t>
            </w:r>
          </w:p>
        </w:tc>
      </w:tr>
      <w:tr w:rsidR="0026102C" w:rsidRPr="00C875E8" w:rsidTr="007B4DF9">
        <w:trPr>
          <w:cantSplit/>
        </w:trPr>
        <w:tc>
          <w:tcPr>
            <w:tcW w:w="1477" w:type="pct"/>
          </w:tcPr>
          <w:p w:rsidR="0026102C" w:rsidRPr="0026102C" w:rsidRDefault="0026102C" w:rsidP="003D54AE">
            <w:pPr>
              <w:autoSpaceDE w:val="0"/>
              <w:autoSpaceDN w:val="0"/>
              <w:adjustRightInd w:val="0"/>
              <w:rPr>
                <w:bCs/>
                <w:sz w:val="24"/>
              </w:rPr>
            </w:pPr>
            <w:r w:rsidRPr="0026102C">
              <w:rPr>
                <w:iCs/>
                <w:spacing w:val="-3"/>
                <w:sz w:val="24"/>
              </w:rPr>
              <w:t>Contractor Tools</w:t>
            </w:r>
          </w:p>
        </w:tc>
        <w:tc>
          <w:tcPr>
            <w:tcW w:w="3523" w:type="pct"/>
          </w:tcPr>
          <w:p w:rsidR="0026102C" w:rsidRDefault="0026102C" w:rsidP="0026102C">
            <w:pPr>
              <w:rPr>
                <w:sz w:val="24"/>
              </w:rPr>
            </w:pPr>
            <w:r>
              <w:rPr>
                <w:spacing w:val="-3"/>
                <w:sz w:val="24"/>
              </w:rPr>
              <w:t>All Tools owned or licensed by Contractor or its agents and used by Contractor or its agents to provide the Services.</w:t>
            </w:r>
          </w:p>
          <w:p w:rsidR="0026102C" w:rsidRPr="00C875E8" w:rsidRDefault="0026102C" w:rsidP="003D54AE">
            <w:pPr>
              <w:pStyle w:val="HeadingTable"/>
              <w:jc w:val="left"/>
              <w:rPr>
                <w:rFonts w:ascii="Times New Roman" w:hAnsi="Times New Roman"/>
                <w:b w:val="0"/>
                <w:sz w:val="24"/>
              </w:rPr>
            </w:pPr>
          </w:p>
        </w:tc>
      </w:tr>
      <w:tr w:rsidR="00C875E8" w:rsidRPr="00C875E8" w:rsidTr="007B4DF9">
        <w:trPr>
          <w:cantSplit/>
        </w:trPr>
        <w:tc>
          <w:tcPr>
            <w:tcW w:w="1477" w:type="pct"/>
          </w:tcPr>
          <w:p w:rsidR="00C875E8" w:rsidRPr="00C875E8" w:rsidRDefault="00C875E8" w:rsidP="003D54AE">
            <w:pPr>
              <w:autoSpaceDE w:val="0"/>
              <w:autoSpaceDN w:val="0"/>
              <w:adjustRightInd w:val="0"/>
              <w:rPr>
                <w:bCs/>
                <w:sz w:val="24"/>
              </w:rPr>
            </w:pPr>
            <w:r w:rsidRPr="00C875E8">
              <w:rPr>
                <w:bCs/>
                <w:sz w:val="24"/>
              </w:rPr>
              <w:t>COPANET</w:t>
            </w:r>
          </w:p>
        </w:tc>
        <w:tc>
          <w:tcPr>
            <w:tcW w:w="3523" w:type="pct"/>
          </w:tcPr>
          <w:p w:rsidR="00C875E8" w:rsidRPr="00C875E8" w:rsidRDefault="00C875E8" w:rsidP="003D54AE">
            <w:pPr>
              <w:pStyle w:val="HeadingTable"/>
              <w:jc w:val="left"/>
              <w:rPr>
                <w:rFonts w:ascii="Times New Roman" w:hAnsi="Times New Roman"/>
                <w:b w:val="0"/>
                <w:sz w:val="24"/>
              </w:rPr>
            </w:pPr>
            <w:r w:rsidRPr="00C875E8">
              <w:rPr>
                <w:rFonts w:ascii="Times New Roman" w:hAnsi="Times New Roman"/>
                <w:b w:val="0"/>
                <w:sz w:val="24"/>
              </w:rPr>
              <w:t>The Commonwealth’s private Fiber network.</w:t>
            </w:r>
          </w:p>
        </w:tc>
      </w:tr>
      <w:tr w:rsidR="00C875E8" w:rsidRPr="00C875E8" w:rsidTr="007B4DF9">
        <w:trPr>
          <w:cantSplit/>
        </w:trPr>
        <w:tc>
          <w:tcPr>
            <w:tcW w:w="1477" w:type="pct"/>
          </w:tcPr>
          <w:p w:rsidR="00C875E8" w:rsidRPr="00C875E8" w:rsidRDefault="00C875E8" w:rsidP="003D54AE">
            <w:pPr>
              <w:autoSpaceDE w:val="0"/>
              <w:autoSpaceDN w:val="0"/>
              <w:adjustRightInd w:val="0"/>
              <w:rPr>
                <w:bCs/>
                <w:sz w:val="24"/>
              </w:rPr>
            </w:pPr>
            <w:r w:rsidRPr="00C875E8">
              <w:rPr>
                <w:sz w:val="24"/>
              </w:rPr>
              <w:t>Criminal History Record Information Act</w:t>
            </w:r>
            <w:r w:rsidRPr="00C875E8">
              <w:rPr>
                <w:sz w:val="24"/>
              </w:rPr>
              <w:br/>
              <w:t>(CHRIA)</w:t>
            </w:r>
          </w:p>
        </w:tc>
        <w:tc>
          <w:tcPr>
            <w:tcW w:w="3523" w:type="pct"/>
          </w:tcPr>
          <w:p w:rsidR="00C875E8" w:rsidRPr="00C875E8" w:rsidRDefault="00C875E8" w:rsidP="003D54AE">
            <w:pPr>
              <w:autoSpaceDE w:val="0"/>
              <w:autoSpaceDN w:val="0"/>
              <w:adjustRightInd w:val="0"/>
              <w:jc w:val="both"/>
              <w:rPr>
                <w:bCs/>
                <w:iCs/>
                <w:sz w:val="24"/>
                <w:szCs w:val="22"/>
              </w:rPr>
            </w:pPr>
            <w:r w:rsidRPr="00C875E8">
              <w:rPr>
                <w:bCs/>
                <w:iCs/>
                <w:sz w:val="24"/>
              </w:rPr>
              <w:t xml:space="preserve">Chapter 91 </w:t>
            </w:r>
            <w:r w:rsidRPr="00C875E8">
              <w:rPr>
                <w:sz w:val="24"/>
              </w:rPr>
              <w:t xml:space="preserve">of the </w:t>
            </w:r>
            <w:r w:rsidRPr="00C875E8">
              <w:rPr>
                <w:bCs/>
                <w:iCs/>
                <w:sz w:val="24"/>
              </w:rPr>
              <w:t xml:space="preserve">Crimes Code of Pennsylvania and Pennsylvania Consolidated Statues Annotated, 18 Pa. C.S.A. 9101 et. seq. </w:t>
            </w:r>
          </w:p>
          <w:p w:rsidR="00C875E8" w:rsidRPr="00C875E8" w:rsidRDefault="00C875E8" w:rsidP="003D54AE">
            <w:pPr>
              <w:autoSpaceDE w:val="0"/>
              <w:autoSpaceDN w:val="0"/>
              <w:adjustRightInd w:val="0"/>
              <w:jc w:val="both"/>
              <w:rPr>
                <w:sz w:val="24"/>
              </w:rPr>
            </w:pPr>
          </w:p>
        </w:tc>
      </w:tr>
      <w:tr w:rsidR="00C875E8" w:rsidRPr="00C875E8" w:rsidTr="007B4DF9">
        <w:trPr>
          <w:cantSplit/>
        </w:trPr>
        <w:tc>
          <w:tcPr>
            <w:tcW w:w="1477" w:type="pct"/>
          </w:tcPr>
          <w:p w:rsidR="00C875E8" w:rsidRPr="00C875E8" w:rsidRDefault="00C875E8" w:rsidP="003D54AE">
            <w:pPr>
              <w:autoSpaceDE w:val="0"/>
              <w:autoSpaceDN w:val="0"/>
              <w:adjustRightInd w:val="0"/>
              <w:rPr>
                <w:bCs/>
                <w:sz w:val="24"/>
              </w:rPr>
            </w:pPr>
            <w:r w:rsidRPr="00C875E8">
              <w:rPr>
                <w:sz w:val="24"/>
              </w:rPr>
              <w:t>Criminal Justice Information Services</w:t>
            </w:r>
            <w:r w:rsidRPr="00C875E8">
              <w:rPr>
                <w:sz w:val="24"/>
              </w:rPr>
              <w:br/>
              <w:t>(CJIS)</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The policy that provides Criminal Justice Agencies and Noncriminal Justice Agencies with a minimum set of security requirements for the access to Federal Bureau of Investigation Criminal Justice Information Services (CJIS) Division systems and information and to protect and safeguard Criminal Justice Information.</w:t>
            </w:r>
          </w:p>
        </w:tc>
      </w:tr>
      <w:tr w:rsidR="00C875E8" w:rsidRPr="00C875E8" w:rsidTr="007B4DF9">
        <w:trPr>
          <w:cantSplit/>
        </w:trPr>
        <w:tc>
          <w:tcPr>
            <w:tcW w:w="1477" w:type="pct"/>
          </w:tcPr>
          <w:p w:rsidR="00C875E8" w:rsidRPr="00C875E8" w:rsidRDefault="00C875E8" w:rsidP="003D54AE">
            <w:pPr>
              <w:autoSpaceDE w:val="0"/>
              <w:autoSpaceDN w:val="0"/>
              <w:adjustRightInd w:val="0"/>
              <w:rPr>
                <w:bCs/>
                <w:sz w:val="24"/>
              </w:rPr>
            </w:pPr>
            <w:r w:rsidRPr="00C875E8">
              <w:rPr>
                <w:bCs/>
                <w:sz w:val="24"/>
              </w:rPr>
              <w:t>Critical Application</w:t>
            </w:r>
          </w:p>
        </w:tc>
        <w:tc>
          <w:tcPr>
            <w:tcW w:w="3523" w:type="pct"/>
          </w:tcPr>
          <w:p w:rsidR="00C875E8" w:rsidRPr="00C875E8" w:rsidRDefault="00C875E8" w:rsidP="003D54AE">
            <w:pPr>
              <w:pStyle w:val="HeadingTable"/>
              <w:jc w:val="both"/>
              <w:rPr>
                <w:rFonts w:ascii="Times New Roman" w:hAnsi="Times New Roman"/>
                <w:b w:val="0"/>
                <w:color w:val="000000"/>
                <w:sz w:val="24"/>
              </w:rPr>
            </w:pPr>
            <w:r w:rsidRPr="00C875E8">
              <w:rPr>
                <w:rFonts w:ascii="Times New Roman" w:hAnsi="Times New Roman"/>
                <w:b w:val="0"/>
                <w:sz w:val="24"/>
              </w:rPr>
              <w:t>Those applications designated as “Critical Applications” in the Commonwealth Compute Process Manual (CCPM)</w:t>
            </w:r>
          </w:p>
        </w:tc>
      </w:tr>
      <w:tr w:rsidR="00C875E8" w:rsidRPr="00C875E8" w:rsidTr="007B4DF9">
        <w:trPr>
          <w:cantSplit/>
        </w:trPr>
        <w:tc>
          <w:tcPr>
            <w:tcW w:w="1477" w:type="pct"/>
          </w:tcPr>
          <w:p w:rsidR="00C875E8" w:rsidRPr="00C875E8" w:rsidRDefault="00C875E8" w:rsidP="003D54AE">
            <w:pPr>
              <w:rPr>
                <w:bCs/>
                <w:sz w:val="24"/>
              </w:rPr>
            </w:pPr>
            <w:r w:rsidRPr="00C875E8">
              <w:rPr>
                <w:sz w:val="24"/>
              </w:rPr>
              <w:t>Critical Measurements</w:t>
            </w:r>
            <w:r w:rsidRPr="00C875E8">
              <w:rPr>
                <w:sz w:val="24"/>
              </w:rPr>
              <w:br/>
              <w:t>(CM)</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Performance measurements defined for the most important service areas</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lastRenderedPageBreak/>
              <w:t>Critical Services</w:t>
            </w:r>
          </w:p>
        </w:tc>
        <w:tc>
          <w:tcPr>
            <w:tcW w:w="3523" w:type="pct"/>
          </w:tcPr>
          <w:p w:rsidR="00C875E8" w:rsidRPr="00C875E8" w:rsidRDefault="00C875E8" w:rsidP="003D54AE">
            <w:pPr>
              <w:pStyle w:val="HeadingTable"/>
              <w:jc w:val="both"/>
              <w:rPr>
                <w:rFonts w:ascii="Times New Roman" w:hAnsi="Times New Roman"/>
                <w:b w:val="0"/>
                <w:color w:val="000000"/>
                <w:sz w:val="24"/>
              </w:rPr>
            </w:pPr>
            <w:r w:rsidRPr="00C875E8">
              <w:rPr>
                <w:rFonts w:ascii="Times New Roman" w:hAnsi="Times New Roman"/>
                <w:b w:val="0"/>
                <w:sz w:val="24"/>
              </w:rPr>
              <w:t>Those services designated as “Critical Services” in a Commonwealth Compute Process Manual (CCPM)</w:t>
            </w:r>
          </w:p>
        </w:tc>
      </w:tr>
      <w:tr w:rsidR="00C875E8" w:rsidRPr="00C875E8" w:rsidTr="007B4DF9">
        <w:trPr>
          <w:cantSplit/>
        </w:trPr>
        <w:tc>
          <w:tcPr>
            <w:tcW w:w="1477" w:type="pct"/>
          </w:tcPr>
          <w:p w:rsidR="00C875E8" w:rsidRPr="00C875E8" w:rsidRDefault="00C875E8" w:rsidP="003D54AE">
            <w:pPr>
              <w:autoSpaceDE w:val="0"/>
              <w:autoSpaceDN w:val="0"/>
              <w:adjustRightInd w:val="0"/>
              <w:rPr>
                <w:bCs/>
                <w:sz w:val="24"/>
              </w:rPr>
            </w:pPr>
            <w:r w:rsidRPr="00C875E8">
              <w:rPr>
                <w:sz w:val="24"/>
              </w:rPr>
              <w:t>Data Gathering</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The work effort of collecting information to discover and document a process, a procedure, or the configuration of a Service.</w:t>
            </w:r>
          </w:p>
        </w:tc>
      </w:tr>
      <w:tr w:rsidR="00C875E8" w:rsidRPr="00C875E8" w:rsidTr="007B4DF9">
        <w:trPr>
          <w:cantSplit/>
        </w:trPr>
        <w:tc>
          <w:tcPr>
            <w:tcW w:w="1477" w:type="pct"/>
          </w:tcPr>
          <w:p w:rsidR="00C875E8" w:rsidRPr="00C875E8" w:rsidRDefault="00C875E8" w:rsidP="003D54AE">
            <w:pPr>
              <w:rPr>
                <w:bCs/>
                <w:sz w:val="24"/>
              </w:rPr>
            </w:pPr>
            <w:r w:rsidRPr="00C875E8">
              <w:rPr>
                <w:sz w:val="24"/>
              </w:rPr>
              <w:t>Data Power House</w:t>
            </w:r>
            <w:r w:rsidRPr="00C875E8">
              <w:rPr>
                <w:sz w:val="24"/>
              </w:rPr>
              <w:br/>
              <w:t>(DPH)</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The Commonwealth accepted term encompassing the current managed datacenter contract, Services, and location.</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sz w:val="24"/>
              </w:rPr>
              <w:t>Database Administration</w:t>
            </w:r>
            <w:r w:rsidRPr="00C875E8">
              <w:rPr>
                <w:sz w:val="24"/>
              </w:rPr>
              <w:br/>
              <w:t>(DBA)</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The function of implementing, configuring, monitoring, and troubleshooting structured data in a common platform/application.</w:t>
            </w:r>
          </w:p>
        </w:tc>
      </w:tr>
      <w:tr w:rsidR="00C875E8" w:rsidRPr="00C875E8" w:rsidTr="007B4DF9">
        <w:trPr>
          <w:cantSplit/>
        </w:trPr>
        <w:tc>
          <w:tcPr>
            <w:tcW w:w="1477" w:type="pct"/>
          </w:tcPr>
          <w:p w:rsidR="00C875E8" w:rsidRPr="00C875E8" w:rsidRDefault="00C875E8" w:rsidP="003D54AE">
            <w:pPr>
              <w:autoSpaceDE w:val="0"/>
              <w:autoSpaceDN w:val="0"/>
              <w:adjustRightInd w:val="0"/>
              <w:rPr>
                <w:bCs/>
                <w:sz w:val="24"/>
              </w:rPr>
            </w:pPr>
            <w:r w:rsidRPr="00C875E8">
              <w:rPr>
                <w:color w:val="000000"/>
                <w:sz w:val="24"/>
              </w:rPr>
              <w:t xml:space="preserve">Datacenter Architecture </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The resulting equipment and associated network infrastructure viewed as an entire collection of services.</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t>Days</w:t>
            </w:r>
          </w:p>
        </w:tc>
        <w:tc>
          <w:tcPr>
            <w:tcW w:w="3523" w:type="pct"/>
          </w:tcPr>
          <w:p w:rsidR="00C875E8" w:rsidRPr="00C875E8" w:rsidRDefault="00C875E8" w:rsidP="003D54AE">
            <w:pPr>
              <w:pStyle w:val="HeadingTable"/>
              <w:jc w:val="both"/>
              <w:rPr>
                <w:rFonts w:ascii="Times New Roman" w:hAnsi="Times New Roman"/>
                <w:b w:val="0"/>
                <w:color w:val="000000"/>
                <w:sz w:val="24"/>
              </w:rPr>
            </w:pPr>
            <w:r w:rsidRPr="00C875E8">
              <w:rPr>
                <w:rFonts w:ascii="Times New Roman" w:hAnsi="Times New Roman"/>
                <w:b w:val="0"/>
                <w:sz w:val="24"/>
              </w:rPr>
              <w:t>Calendar days, unless specifically indicated otherwise.</w:t>
            </w:r>
          </w:p>
        </w:tc>
      </w:tr>
      <w:tr w:rsidR="00C875E8" w:rsidRPr="00C875E8" w:rsidTr="007B4DF9">
        <w:trPr>
          <w:cantSplit/>
        </w:trPr>
        <w:tc>
          <w:tcPr>
            <w:tcW w:w="1477" w:type="pct"/>
          </w:tcPr>
          <w:p w:rsidR="00C875E8" w:rsidRPr="00C875E8" w:rsidRDefault="00C875E8" w:rsidP="003D54AE">
            <w:pPr>
              <w:autoSpaceDE w:val="0"/>
              <w:autoSpaceDN w:val="0"/>
              <w:adjustRightInd w:val="0"/>
              <w:rPr>
                <w:bCs/>
                <w:sz w:val="24"/>
              </w:rPr>
            </w:pPr>
            <w:r w:rsidRPr="00C875E8">
              <w:rPr>
                <w:bCs/>
                <w:sz w:val="24"/>
              </w:rPr>
              <w:t>Degraded Condition</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 xml:space="preserve">A Service that tests as fully operational but is degraded below user expectations across a significant segment of the user population as determined by the Commonwealth. </w:t>
            </w:r>
          </w:p>
        </w:tc>
      </w:tr>
      <w:tr w:rsidR="00C875E8" w:rsidRPr="00C875E8" w:rsidTr="00687B0D">
        <w:trPr>
          <w:cantSplit/>
        </w:trPr>
        <w:tc>
          <w:tcPr>
            <w:tcW w:w="1477" w:type="pct"/>
            <w:tcBorders>
              <w:bottom w:val="single" w:sz="4" w:space="0" w:color="000000"/>
            </w:tcBorders>
          </w:tcPr>
          <w:p w:rsidR="00C875E8" w:rsidRPr="00C875E8" w:rsidRDefault="00C875E8" w:rsidP="003D54AE">
            <w:pPr>
              <w:autoSpaceDE w:val="0"/>
              <w:autoSpaceDN w:val="0"/>
              <w:adjustRightInd w:val="0"/>
              <w:rPr>
                <w:sz w:val="24"/>
              </w:rPr>
            </w:pPr>
            <w:r w:rsidRPr="00C875E8">
              <w:rPr>
                <w:bCs/>
                <w:sz w:val="24"/>
              </w:rPr>
              <w:t>Deliverable</w:t>
            </w:r>
          </w:p>
        </w:tc>
        <w:tc>
          <w:tcPr>
            <w:tcW w:w="3523" w:type="pct"/>
            <w:tcBorders>
              <w:bottom w:val="single" w:sz="4" w:space="0" w:color="000000"/>
            </w:tcBorders>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A Milestone or Service that is subject to acceptance testing in the Acceptance Testing Plan.</w:t>
            </w:r>
          </w:p>
        </w:tc>
      </w:tr>
      <w:tr w:rsidR="00C875E8" w:rsidRPr="00C875E8" w:rsidTr="00687B0D">
        <w:trPr>
          <w:cantSplit/>
        </w:trPr>
        <w:tc>
          <w:tcPr>
            <w:tcW w:w="1477" w:type="pct"/>
            <w:shd w:val="clear" w:color="auto" w:fill="FFFFFF"/>
          </w:tcPr>
          <w:p w:rsidR="00C875E8" w:rsidRPr="00C875E8" w:rsidRDefault="00C875E8" w:rsidP="003D54AE">
            <w:pPr>
              <w:autoSpaceDE w:val="0"/>
              <w:autoSpaceDN w:val="0"/>
              <w:adjustRightInd w:val="0"/>
              <w:rPr>
                <w:sz w:val="24"/>
              </w:rPr>
            </w:pPr>
            <w:r w:rsidRPr="00C875E8">
              <w:rPr>
                <w:spacing w:val="-3"/>
                <w:sz w:val="24"/>
              </w:rPr>
              <w:t>Developed Documentation</w:t>
            </w:r>
          </w:p>
        </w:tc>
        <w:tc>
          <w:tcPr>
            <w:tcW w:w="3523" w:type="pct"/>
            <w:shd w:val="clear" w:color="auto" w:fill="FFFFFF"/>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Documentation developed by Contractor specifically for the Commonwealth in connection with its performance under this Contract as more fully set forth in Section 40 of Appendix A (Terms and Conditions).</w:t>
            </w:r>
          </w:p>
        </w:tc>
      </w:tr>
      <w:tr w:rsidR="00C875E8" w:rsidRPr="00C875E8" w:rsidTr="00687B0D">
        <w:trPr>
          <w:cantSplit/>
        </w:trPr>
        <w:tc>
          <w:tcPr>
            <w:tcW w:w="1477" w:type="pct"/>
            <w:shd w:val="clear" w:color="auto" w:fill="FFFFFF"/>
          </w:tcPr>
          <w:p w:rsidR="00C875E8" w:rsidRPr="00C875E8" w:rsidRDefault="00C875E8" w:rsidP="003D54AE">
            <w:pPr>
              <w:autoSpaceDE w:val="0"/>
              <w:autoSpaceDN w:val="0"/>
              <w:adjustRightInd w:val="0"/>
              <w:rPr>
                <w:sz w:val="24"/>
              </w:rPr>
            </w:pPr>
            <w:r w:rsidRPr="00C875E8">
              <w:rPr>
                <w:spacing w:val="-3"/>
                <w:sz w:val="24"/>
              </w:rPr>
              <w:t>Developed Materials</w:t>
            </w:r>
          </w:p>
        </w:tc>
        <w:tc>
          <w:tcPr>
            <w:tcW w:w="3523" w:type="pct"/>
            <w:shd w:val="clear" w:color="auto" w:fill="FFFFFF"/>
          </w:tcPr>
          <w:p w:rsidR="00C875E8" w:rsidRPr="00C875E8" w:rsidRDefault="00C875E8" w:rsidP="00530079">
            <w:pPr>
              <w:pStyle w:val="HeadingTable"/>
              <w:jc w:val="both"/>
              <w:rPr>
                <w:rFonts w:ascii="Times New Roman" w:hAnsi="Times New Roman"/>
                <w:b w:val="0"/>
                <w:sz w:val="24"/>
              </w:rPr>
            </w:pPr>
            <w:r w:rsidRPr="00C875E8">
              <w:rPr>
                <w:rFonts w:ascii="Times New Roman" w:hAnsi="Times New Roman"/>
                <w:b w:val="0"/>
                <w:sz w:val="24"/>
              </w:rPr>
              <w:t>All literary works, or other works of authorship (such as application programs, listings, programming tools, documentation, reports, drawings, procedure manuals and similar works) developed under the Contract, as more fully set fort</w:t>
            </w:r>
            <w:r w:rsidR="00687B0D">
              <w:rPr>
                <w:rFonts w:ascii="Times New Roman" w:hAnsi="Times New Roman"/>
                <w:b w:val="0"/>
                <w:sz w:val="24"/>
              </w:rPr>
              <w:t>h</w:t>
            </w:r>
            <w:r w:rsidRPr="00C875E8">
              <w:rPr>
                <w:rFonts w:ascii="Times New Roman" w:hAnsi="Times New Roman"/>
                <w:b w:val="0"/>
                <w:sz w:val="24"/>
              </w:rPr>
              <w:t xml:space="preserve"> in  Section 40 of Appendix A (Terms and Conditions)</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t>Disaster Recovery Plan</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The plan created to restore Services to the Commonwealth in the event of a declared disaster.</w:t>
            </w:r>
          </w:p>
        </w:tc>
      </w:tr>
      <w:tr w:rsidR="00C875E8" w:rsidRPr="00C875E8" w:rsidTr="007B4DF9">
        <w:trPr>
          <w:cantSplit/>
        </w:trPr>
        <w:tc>
          <w:tcPr>
            <w:tcW w:w="1477" w:type="pct"/>
          </w:tcPr>
          <w:p w:rsidR="00C875E8" w:rsidRPr="00C875E8" w:rsidRDefault="00C875E8" w:rsidP="003D54AE">
            <w:pPr>
              <w:autoSpaceDE w:val="0"/>
              <w:autoSpaceDN w:val="0"/>
              <w:adjustRightInd w:val="0"/>
              <w:rPr>
                <w:bCs/>
                <w:sz w:val="24"/>
              </w:rPr>
            </w:pPr>
            <w:r w:rsidRPr="00C875E8">
              <w:rPr>
                <w:sz w:val="24"/>
              </w:rPr>
              <w:t>Disaster Recovery</w:t>
            </w:r>
            <w:r w:rsidRPr="00C875E8">
              <w:rPr>
                <w:sz w:val="24"/>
              </w:rPr>
              <w:br/>
              <w:t>(DR)</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A series of events to restore a service or equipment in the advent of a major system or network failure, or a natural or man-made event that denies service for an extended period of time.</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lastRenderedPageBreak/>
              <w:t>Documentation</w:t>
            </w:r>
          </w:p>
        </w:tc>
        <w:tc>
          <w:tcPr>
            <w:tcW w:w="3523" w:type="pct"/>
          </w:tcPr>
          <w:p w:rsidR="00C875E8" w:rsidRPr="00C875E8" w:rsidRDefault="00C875E8" w:rsidP="00530079">
            <w:pPr>
              <w:pStyle w:val="HeadingTable"/>
              <w:jc w:val="both"/>
              <w:rPr>
                <w:rFonts w:ascii="Times New Roman" w:hAnsi="Times New Roman"/>
                <w:b w:val="0"/>
                <w:sz w:val="24"/>
              </w:rPr>
            </w:pPr>
            <w:r w:rsidRPr="00C875E8">
              <w:rPr>
                <w:rFonts w:ascii="Times New Roman" w:hAnsi="Times New Roman"/>
                <w:b w:val="0"/>
                <w:sz w:val="24"/>
              </w:rPr>
              <w:t>All written materials, work papers, configurations and manuals (including the CCPM) prepared by or on behalf of the Contractor or any of the Contractor’s Agents pursuant to the Contract as more fully set forth in Section 40 of Appendix A (Terms and Conditions)..</w:t>
            </w:r>
          </w:p>
        </w:tc>
      </w:tr>
      <w:tr w:rsidR="00C875E8" w:rsidRPr="00C875E8" w:rsidTr="007B4DF9">
        <w:trPr>
          <w:cantSplit/>
        </w:trPr>
        <w:tc>
          <w:tcPr>
            <w:tcW w:w="1477" w:type="pct"/>
          </w:tcPr>
          <w:p w:rsidR="00C875E8" w:rsidRPr="00C875E8" w:rsidRDefault="00C875E8" w:rsidP="003D54AE">
            <w:pPr>
              <w:autoSpaceDE w:val="0"/>
              <w:autoSpaceDN w:val="0"/>
              <w:adjustRightInd w:val="0"/>
              <w:rPr>
                <w:bCs/>
                <w:sz w:val="24"/>
              </w:rPr>
            </w:pPr>
            <w:r w:rsidRPr="00C875E8">
              <w:rPr>
                <w:bCs/>
                <w:sz w:val="24"/>
              </w:rPr>
              <w:t>Downtime</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The duration a service or equipment is not fully functional based on the requirements of the service or equipment.</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t>Earn Back</w:t>
            </w:r>
          </w:p>
        </w:tc>
        <w:tc>
          <w:tcPr>
            <w:tcW w:w="3523" w:type="pct"/>
          </w:tcPr>
          <w:p w:rsidR="00C875E8" w:rsidRPr="00C875E8" w:rsidRDefault="00C875E8" w:rsidP="003D54AE">
            <w:pPr>
              <w:pStyle w:val="HeadingTable"/>
              <w:jc w:val="both"/>
              <w:rPr>
                <w:rFonts w:ascii="Times New Roman" w:hAnsi="Times New Roman"/>
                <w:b w:val="0"/>
                <w:color w:val="000000"/>
                <w:sz w:val="24"/>
              </w:rPr>
            </w:pPr>
            <w:r w:rsidRPr="00C875E8">
              <w:rPr>
                <w:rFonts w:ascii="Times New Roman" w:hAnsi="Times New Roman"/>
                <w:b w:val="0"/>
                <w:sz w:val="24"/>
              </w:rPr>
              <w:t>The Offeror’s opportunity to earn back Service Level Credits on Required Service Level Defaults, in accordance with Schedule J.1 (Datacenter Service Level Management)</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t>Effective Date</w:t>
            </w:r>
          </w:p>
        </w:tc>
        <w:tc>
          <w:tcPr>
            <w:tcW w:w="3523" w:type="pct"/>
          </w:tcPr>
          <w:p w:rsidR="00C875E8" w:rsidRPr="00C875E8" w:rsidRDefault="00C875E8" w:rsidP="005F1D4A">
            <w:pPr>
              <w:pStyle w:val="HeadingTable"/>
              <w:jc w:val="both"/>
              <w:rPr>
                <w:rFonts w:ascii="Times New Roman" w:hAnsi="Times New Roman"/>
                <w:b w:val="0"/>
                <w:sz w:val="24"/>
              </w:rPr>
            </w:pPr>
            <w:r w:rsidRPr="00C875E8">
              <w:rPr>
                <w:rFonts w:ascii="Times New Roman" w:hAnsi="Times New Roman"/>
                <w:b w:val="0"/>
                <w:sz w:val="24"/>
              </w:rPr>
              <w:t>The date the Commonwealth and the Offeror complete the approval and signature of the resulting Contract for this Procurement, as more fully set forth in Section 1 of Appendix A (Terms and Conditions).</w:t>
            </w:r>
          </w:p>
        </w:tc>
      </w:tr>
      <w:tr w:rsidR="00C875E8" w:rsidRPr="00C875E8" w:rsidTr="007B4DF9">
        <w:trPr>
          <w:cantSplit/>
        </w:trPr>
        <w:tc>
          <w:tcPr>
            <w:tcW w:w="1477" w:type="pct"/>
          </w:tcPr>
          <w:p w:rsidR="00C875E8" w:rsidRPr="00C875E8" w:rsidRDefault="00C875E8" w:rsidP="003D54AE">
            <w:pPr>
              <w:autoSpaceDE w:val="0"/>
              <w:autoSpaceDN w:val="0"/>
              <w:adjustRightInd w:val="0"/>
              <w:rPr>
                <w:bCs/>
                <w:sz w:val="24"/>
              </w:rPr>
            </w:pPr>
            <w:r w:rsidRPr="00C875E8">
              <w:rPr>
                <w:bCs/>
                <w:sz w:val="24"/>
              </w:rPr>
              <w:t>Enterprise Data Center</w:t>
            </w:r>
            <w:r w:rsidRPr="00C875E8">
              <w:rPr>
                <w:bCs/>
                <w:sz w:val="24"/>
              </w:rPr>
              <w:br/>
              <w:t>(EDC)</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 xml:space="preserve">The Commonwealth’s datacenter and adjacent offices located at 1 Technology Park Drive, Harrisburg, PA 17110.  </w:t>
            </w:r>
          </w:p>
        </w:tc>
      </w:tr>
      <w:tr w:rsidR="00C875E8" w:rsidRPr="00C875E8" w:rsidTr="007B4DF9">
        <w:trPr>
          <w:cantSplit/>
        </w:trPr>
        <w:tc>
          <w:tcPr>
            <w:tcW w:w="1477" w:type="pct"/>
          </w:tcPr>
          <w:p w:rsidR="00C875E8" w:rsidRPr="00C875E8" w:rsidRDefault="00C875E8" w:rsidP="003D54AE">
            <w:pPr>
              <w:rPr>
                <w:bCs/>
                <w:sz w:val="24"/>
              </w:rPr>
            </w:pPr>
            <w:r w:rsidRPr="00C875E8">
              <w:rPr>
                <w:sz w:val="24"/>
              </w:rPr>
              <w:t>Enterprise Remedy</w:t>
            </w:r>
          </w:p>
        </w:tc>
        <w:tc>
          <w:tcPr>
            <w:tcW w:w="3523" w:type="pct"/>
          </w:tcPr>
          <w:p w:rsidR="00C875E8" w:rsidRPr="00C875E8" w:rsidRDefault="00C875E8" w:rsidP="003D54AE">
            <w:pPr>
              <w:rPr>
                <w:sz w:val="24"/>
              </w:rPr>
            </w:pPr>
            <w:r w:rsidRPr="00C875E8">
              <w:rPr>
                <w:sz w:val="24"/>
              </w:rPr>
              <w:t>The Commonwealth’s ITSM system that manages and tracks the workflows and approvals for Incidents, Changes, Problems, CMDB and SLA's.</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t>Equipment</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All computing, networking, telecommunications and other equipment (hardware and firmware) procured, provided, operated, supported, or used by Offeror in connection with the Services, including but not limited to:</w:t>
            </w:r>
          </w:p>
          <w:p w:rsidR="00C875E8" w:rsidRPr="00C875E8" w:rsidRDefault="00C875E8" w:rsidP="003D54AE">
            <w:pPr>
              <w:pStyle w:val="HeadingTable"/>
              <w:numPr>
                <w:ilvl w:val="0"/>
                <w:numId w:val="31"/>
              </w:numPr>
              <w:ind w:left="411"/>
              <w:jc w:val="both"/>
              <w:rPr>
                <w:rFonts w:ascii="Times New Roman" w:hAnsi="Times New Roman"/>
                <w:b w:val="0"/>
                <w:sz w:val="24"/>
              </w:rPr>
            </w:pPr>
            <w:r w:rsidRPr="00C875E8">
              <w:rPr>
                <w:rFonts w:ascii="Times New Roman" w:hAnsi="Times New Roman"/>
                <w:b w:val="0"/>
                <w:sz w:val="24"/>
              </w:rPr>
              <w:t xml:space="preserve">mainframe, midrange, server and distributed computing equipment and associated attachments, features, accessories, peripheral devices and cabling, </w:t>
            </w:r>
          </w:p>
          <w:p w:rsidR="00C875E8" w:rsidRPr="00C875E8" w:rsidRDefault="00C875E8" w:rsidP="003D54AE">
            <w:pPr>
              <w:pStyle w:val="HeadingTable"/>
              <w:numPr>
                <w:ilvl w:val="0"/>
                <w:numId w:val="31"/>
              </w:numPr>
              <w:ind w:left="411"/>
              <w:jc w:val="both"/>
              <w:rPr>
                <w:rFonts w:ascii="Times New Roman" w:hAnsi="Times New Roman"/>
                <w:b w:val="0"/>
                <w:sz w:val="24"/>
              </w:rPr>
            </w:pPr>
            <w:r w:rsidRPr="00C875E8">
              <w:rPr>
                <w:rFonts w:ascii="Times New Roman" w:hAnsi="Times New Roman"/>
                <w:b w:val="0"/>
                <w:sz w:val="24"/>
              </w:rPr>
              <w:t xml:space="preserve">personal computers, laptop computers, workstations and personal data devices and associated attachments, features, accessories, printers, multi-functional printers, peripheral or network devices and cabling, and </w:t>
            </w:r>
          </w:p>
          <w:p w:rsidR="00C875E8" w:rsidRPr="00C875E8" w:rsidRDefault="00C875E8" w:rsidP="003D54AE">
            <w:pPr>
              <w:pStyle w:val="HeadingTable"/>
              <w:numPr>
                <w:ilvl w:val="0"/>
                <w:numId w:val="31"/>
              </w:numPr>
              <w:ind w:left="411"/>
              <w:jc w:val="both"/>
              <w:rPr>
                <w:rFonts w:ascii="Times New Roman" w:hAnsi="Times New Roman"/>
                <w:b w:val="0"/>
                <w:color w:val="000000"/>
                <w:sz w:val="24"/>
              </w:rPr>
            </w:pPr>
            <w:r w:rsidRPr="00C875E8">
              <w:rPr>
                <w:rFonts w:ascii="Times New Roman" w:hAnsi="Times New Roman"/>
                <w:b w:val="0"/>
                <w:sz w:val="24"/>
              </w:rPr>
              <w:t>voice, data, video and wireless telecommunications and network and monitoring equipment and associated attachments, features, accessories, cell phones, peripheral devices and cabling.</w:t>
            </w:r>
          </w:p>
        </w:tc>
      </w:tr>
      <w:tr w:rsidR="00C875E8" w:rsidRPr="00C875E8" w:rsidTr="007B4DF9">
        <w:trPr>
          <w:cantSplit/>
        </w:trPr>
        <w:tc>
          <w:tcPr>
            <w:tcW w:w="1477" w:type="pct"/>
          </w:tcPr>
          <w:p w:rsidR="00C875E8" w:rsidRPr="00C875E8" w:rsidRDefault="00C875E8" w:rsidP="003D54AE">
            <w:pPr>
              <w:autoSpaceDE w:val="0"/>
              <w:autoSpaceDN w:val="0"/>
              <w:adjustRightInd w:val="0"/>
              <w:rPr>
                <w:bCs/>
                <w:sz w:val="24"/>
              </w:rPr>
            </w:pPr>
            <w:r w:rsidRPr="00C875E8">
              <w:rPr>
                <w:sz w:val="24"/>
              </w:rPr>
              <w:lastRenderedPageBreak/>
              <w:t>ERP systems</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 xml:space="preserve">Systems that integrate internal and external </w:t>
            </w:r>
            <w:hyperlink r:id="rId13" w:tooltip="Management information" w:history="1">
              <w:r w:rsidRPr="00C875E8">
                <w:rPr>
                  <w:rFonts w:ascii="Times New Roman" w:hAnsi="Times New Roman"/>
                  <w:b w:val="0"/>
                  <w:sz w:val="24"/>
                </w:rPr>
                <w:t>management information</w:t>
              </w:r>
            </w:hyperlink>
            <w:r w:rsidRPr="00C875E8">
              <w:rPr>
                <w:rFonts w:ascii="Times New Roman" w:hAnsi="Times New Roman"/>
                <w:b w:val="0"/>
                <w:sz w:val="24"/>
              </w:rPr>
              <w:t xml:space="preserve"> across an entire organization, typically including  </w:t>
            </w:r>
            <w:hyperlink r:id="rId14" w:tooltip="Finance" w:history="1">
              <w:r w:rsidRPr="00C875E8">
                <w:rPr>
                  <w:rFonts w:ascii="Times New Roman" w:hAnsi="Times New Roman"/>
                  <w:b w:val="0"/>
                  <w:sz w:val="24"/>
                </w:rPr>
                <w:t>finance</w:t>
              </w:r>
            </w:hyperlink>
            <w:r w:rsidRPr="00C875E8">
              <w:rPr>
                <w:rFonts w:ascii="Times New Roman" w:hAnsi="Times New Roman"/>
                <w:b w:val="0"/>
                <w:sz w:val="24"/>
              </w:rPr>
              <w:t xml:space="preserve">, accounting, sales, service, and </w:t>
            </w:r>
            <w:hyperlink r:id="rId15" w:tooltip="Customer relationship management" w:history="1">
              <w:r w:rsidRPr="00C875E8">
                <w:rPr>
                  <w:rFonts w:ascii="Times New Roman" w:hAnsi="Times New Roman"/>
                  <w:b w:val="0"/>
                  <w:sz w:val="24"/>
                </w:rPr>
                <w:t>customer relationship management</w:t>
              </w:r>
            </w:hyperlink>
            <w:r w:rsidRPr="00C875E8">
              <w:rPr>
                <w:rFonts w:ascii="Times New Roman" w:hAnsi="Times New Roman"/>
                <w:b w:val="0"/>
                <w:sz w:val="24"/>
              </w:rPr>
              <w:t>, etc.</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t>Expiration Date</w:t>
            </w:r>
          </w:p>
        </w:tc>
        <w:tc>
          <w:tcPr>
            <w:tcW w:w="3523" w:type="pct"/>
          </w:tcPr>
          <w:p w:rsidR="00C875E8" w:rsidRPr="00C875E8" w:rsidRDefault="00C875E8" w:rsidP="005F1D4A">
            <w:pPr>
              <w:pStyle w:val="HeadingTable"/>
              <w:jc w:val="both"/>
              <w:rPr>
                <w:rFonts w:ascii="Times New Roman" w:hAnsi="Times New Roman"/>
                <w:b w:val="0"/>
                <w:sz w:val="24"/>
              </w:rPr>
            </w:pPr>
            <w:r w:rsidRPr="00C875E8">
              <w:rPr>
                <w:rFonts w:ascii="Times New Roman" w:hAnsi="Times New Roman"/>
                <w:b w:val="0"/>
                <w:sz w:val="24"/>
              </w:rPr>
              <w:t>The end of the Contract Term, as more fully set forth in Section 1 of Appendix A (Terms and Conditions).</w:t>
            </w:r>
          </w:p>
        </w:tc>
      </w:tr>
      <w:tr w:rsidR="00C875E8" w:rsidRPr="00C875E8" w:rsidTr="007B4DF9">
        <w:trPr>
          <w:cantSplit/>
        </w:trPr>
        <w:tc>
          <w:tcPr>
            <w:tcW w:w="1477" w:type="pct"/>
          </w:tcPr>
          <w:p w:rsidR="00C875E8" w:rsidRPr="00C875E8" w:rsidRDefault="00C875E8" w:rsidP="003D54AE">
            <w:pPr>
              <w:autoSpaceDE w:val="0"/>
              <w:autoSpaceDN w:val="0"/>
              <w:adjustRightInd w:val="0"/>
              <w:rPr>
                <w:bCs/>
                <w:sz w:val="24"/>
              </w:rPr>
            </w:pPr>
            <w:r w:rsidRPr="00C875E8">
              <w:rPr>
                <w:color w:val="000000"/>
                <w:sz w:val="24"/>
              </w:rPr>
              <w:t>Federal Information Processing Standards</w:t>
            </w:r>
            <w:r w:rsidRPr="00C875E8">
              <w:rPr>
                <w:color w:val="000000"/>
                <w:sz w:val="24"/>
              </w:rPr>
              <w:br/>
              <w:t>(FIPS)</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Standards and guidelines that are developed by the National Institute of Standards and Technology (NIST) for Federal computer systems.</w:t>
            </w:r>
          </w:p>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Under the Information Technology Management Reform Act (Public Law 104-106), the Secretary of Commerce approves standards and guidelines that are developed by the National Institute of Standards and Technology (NIST) for Federal computer systems.  These standards and guidelines are issued by NIST as Federal Information Processing Standards (FIPS) for use government-wide.  NIST develops FIPS when there are compelling Federal government requirements such as for security and interoperability and there are no acceptable industry standards or solutions.</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t>Fees</w:t>
            </w:r>
          </w:p>
        </w:tc>
        <w:tc>
          <w:tcPr>
            <w:tcW w:w="3523" w:type="pct"/>
          </w:tcPr>
          <w:p w:rsidR="00C875E8" w:rsidRPr="00C875E8" w:rsidRDefault="00C875E8" w:rsidP="005F1D4A">
            <w:pPr>
              <w:pStyle w:val="HeadingTable"/>
              <w:jc w:val="both"/>
              <w:rPr>
                <w:rFonts w:ascii="Times New Roman" w:hAnsi="Times New Roman"/>
                <w:b w:val="0"/>
                <w:sz w:val="24"/>
              </w:rPr>
            </w:pPr>
            <w:r w:rsidRPr="00C875E8">
              <w:rPr>
                <w:rFonts w:ascii="Times New Roman" w:hAnsi="Times New Roman"/>
                <w:b w:val="0"/>
                <w:sz w:val="24"/>
              </w:rPr>
              <w:t xml:space="preserve">The </w:t>
            </w:r>
            <w:r w:rsidR="00687B0D" w:rsidRPr="00C875E8">
              <w:rPr>
                <w:rFonts w:ascii="Times New Roman" w:hAnsi="Times New Roman"/>
                <w:b w:val="0"/>
                <w:sz w:val="24"/>
              </w:rPr>
              <w:t>fees</w:t>
            </w:r>
            <w:r w:rsidRPr="00C875E8">
              <w:rPr>
                <w:rFonts w:ascii="Times New Roman" w:hAnsi="Times New Roman"/>
                <w:b w:val="0"/>
                <w:sz w:val="24"/>
              </w:rPr>
              <w:t xml:space="preserve"> and any other amounts payable by Commonwealth to Offeror.</w:t>
            </w:r>
          </w:p>
        </w:tc>
      </w:tr>
      <w:tr w:rsidR="00C875E8" w:rsidRPr="00C875E8" w:rsidTr="007B4DF9">
        <w:trPr>
          <w:cantSplit/>
        </w:trPr>
        <w:tc>
          <w:tcPr>
            <w:tcW w:w="1477" w:type="pct"/>
            <w:shd w:val="clear" w:color="auto" w:fill="FFFFFF"/>
          </w:tcPr>
          <w:p w:rsidR="00C875E8" w:rsidRPr="00C875E8" w:rsidRDefault="00C875E8" w:rsidP="003D54AE">
            <w:pPr>
              <w:autoSpaceDE w:val="0"/>
              <w:autoSpaceDN w:val="0"/>
              <w:adjustRightInd w:val="0"/>
              <w:rPr>
                <w:sz w:val="24"/>
              </w:rPr>
            </w:pPr>
            <w:r w:rsidRPr="00C875E8">
              <w:rPr>
                <w:spacing w:val="-3"/>
                <w:sz w:val="24"/>
              </w:rPr>
              <w:t>Force Majeure Event</w:t>
            </w:r>
          </w:p>
        </w:tc>
        <w:tc>
          <w:tcPr>
            <w:tcW w:w="3523" w:type="pct"/>
            <w:shd w:val="clear" w:color="auto" w:fill="FFFFFF"/>
          </w:tcPr>
          <w:p w:rsidR="00C875E8" w:rsidRPr="00C875E8" w:rsidRDefault="00C875E8" w:rsidP="005F1D4A">
            <w:pPr>
              <w:pStyle w:val="HeadingTable"/>
              <w:jc w:val="both"/>
              <w:rPr>
                <w:rFonts w:ascii="Times New Roman" w:hAnsi="Times New Roman"/>
                <w:b w:val="0"/>
                <w:sz w:val="24"/>
              </w:rPr>
            </w:pPr>
            <w:r w:rsidRPr="00C875E8">
              <w:rPr>
                <w:rStyle w:val="ssens"/>
                <w:rFonts w:ascii="Times New Roman" w:hAnsi="Times New Roman"/>
                <w:b w:val="0"/>
                <w:sz w:val="24"/>
              </w:rPr>
              <w:t xml:space="preserve">An event or effect that cannot be reasonably anticipated or controlled, </w:t>
            </w:r>
            <w:r w:rsidRPr="00C875E8">
              <w:rPr>
                <w:rFonts w:ascii="Times New Roman" w:hAnsi="Times New Roman"/>
                <w:b w:val="0"/>
                <w:sz w:val="24"/>
              </w:rPr>
              <w:t>as more fully set forth in Section 65 of Appendix A (Terms and Conditions).</w:t>
            </w:r>
          </w:p>
        </w:tc>
      </w:tr>
      <w:tr w:rsidR="00C875E8" w:rsidRPr="00C875E8" w:rsidTr="007B4DF9">
        <w:trPr>
          <w:cantSplit/>
        </w:trPr>
        <w:tc>
          <w:tcPr>
            <w:tcW w:w="1477" w:type="pct"/>
          </w:tcPr>
          <w:p w:rsidR="00C875E8" w:rsidRPr="00C875E8" w:rsidRDefault="00C875E8" w:rsidP="003D54AE">
            <w:pPr>
              <w:rPr>
                <w:bCs/>
                <w:sz w:val="24"/>
              </w:rPr>
            </w:pPr>
            <w:r w:rsidRPr="00C875E8">
              <w:rPr>
                <w:sz w:val="24"/>
              </w:rPr>
              <w:t>High Level Estimate</w:t>
            </w:r>
            <w:r w:rsidRPr="00C875E8">
              <w:rPr>
                <w:sz w:val="24"/>
              </w:rPr>
              <w:br/>
              <w:t>(HLE)</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Used when the Commonwealth has a clear technical direction and needs rough estimates on the cost of implementing the Service.</w:t>
            </w:r>
          </w:p>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HLEs may be used to attach a cost estimate to a prior conceptualization or technical opinion produced by the Offeror.</w:t>
            </w:r>
          </w:p>
        </w:tc>
      </w:tr>
      <w:tr w:rsidR="00A5488C" w:rsidRPr="00C875E8" w:rsidTr="007B4DF9">
        <w:trPr>
          <w:cantSplit/>
        </w:trPr>
        <w:tc>
          <w:tcPr>
            <w:tcW w:w="1477" w:type="pct"/>
          </w:tcPr>
          <w:p w:rsidR="00A5488C" w:rsidRPr="00C875E8" w:rsidRDefault="00A5488C" w:rsidP="003D54AE">
            <w:pPr>
              <w:rPr>
                <w:sz w:val="24"/>
              </w:rPr>
            </w:pPr>
            <w:r>
              <w:rPr>
                <w:sz w:val="24"/>
              </w:rPr>
              <w:t>Hybrid Third Party Software</w:t>
            </w:r>
          </w:p>
        </w:tc>
        <w:tc>
          <w:tcPr>
            <w:tcW w:w="3523" w:type="pct"/>
          </w:tcPr>
          <w:p w:rsidR="00A5488C" w:rsidRPr="00C875E8" w:rsidRDefault="002D0505" w:rsidP="00B96CB7">
            <w:pPr>
              <w:pStyle w:val="HeadingTable"/>
              <w:jc w:val="both"/>
              <w:rPr>
                <w:rFonts w:ascii="Times New Roman" w:hAnsi="Times New Roman"/>
                <w:b w:val="0"/>
                <w:sz w:val="24"/>
              </w:rPr>
            </w:pPr>
            <w:r>
              <w:rPr>
                <w:rFonts w:ascii="Times New Roman" w:hAnsi="Times New Roman"/>
                <w:b w:val="0"/>
                <w:sz w:val="24"/>
              </w:rPr>
              <w:t>Third Party Software for which the Commonwealth has a valid license</w:t>
            </w:r>
            <w:r w:rsidR="00B96CB7">
              <w:rPr>
                <w:rFonts w:ascii="Times New Roman" w:hAnsi="Times New Roman"/>
                <w:b w:val="0"/>
                <w:sz w:val="24"/>
              </w:rPr>
              <w:t xml:space="preserve">, and except for the cost of the license, </w:t>
            </w:r>
            <w:r>
              <w:rPr>
                <w:rFonts w:ascii="Times New Roman" w:hAnsi="Times New Roman"/>
                <w:b w:val="0"/>
                <w:sz w:val="24"/>
              </w:rPr>
              <w:t xml:space="preserve"> the contractor shall have financial, administration, operational and maintenance responsibility.</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sz w:val="24"/>
              </w:rPr>
              <w:t>Improved Technology</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pacing w:val="-3"/>
              </w:rPr>
              <w:t>Any new commercially available information processing technology developments, including new software and hardware developments, that could reasonably be expected to have a positive impact on the Services in terms of increased efficiency or reduced cost.</w:t>
            </w:r>
          </w:p>
        </w:tc>
      </w:tr>
      <w:tr w:rsidR="00C875E8" w:rsidRPr="00C875E8" w:rsidTr="007B4DF9">
        <w:trPr>
          <w:cantSplit/>
        </w:trPr>
        <w:tc>
          <w:tcPr>
            <w:tcW w:w="1477" w:type="pct"/>
            <w:shd w:val="clear" w:color="auto" w:fill="FFFFFF"/>
          </w:tcPr>
          <w:p w:rsidR="00C875E8" w:rsidRPr="00C875E8" w:rsidRDefault="00C875E8" w:rsidP="003D54AE">
            <w:pPr>
              <w:autoSpaceDE w:val="0"/>
              <w:autoSpaceDN w:val="0"/>
              <w:adjustRightInd w:val="0"/>
              <w:rPr>
                <w:sz w:val="24"/>
              </w:rPr>
            </w:pPr>
            <w:r w:rsidRPr="00C875E8">
              <w:rPr>
                <w:sz w:val="24"/>
              </w:rPr>
              <w:lastRenderedPageBreak/>
              <w:t>Incident</w:t>
            </w:r>
          </w:p>
        </w:tc>
        <w:tc>
          <w:tcPr>
            <w:tcW w:w="3523" w:type="pct"/>
            <w:shd w:val="clear" w:color="auto" w:fill="FFFFFF"/>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An ITIL term use to describe a failure or loss of capabilities of a Service where a temporary work around is not available or not in</w:t>
            </w:r>
            <w:r w:rsidR="00687B0D">
              <w:rPr>
                <w:rFonts w:ascii="Times New Roman" w:hAnsi="Times New Roman"/>
                <w:b w:val="0"/>
                <w:sz w:val="24"/>
              </w:rPr>
              <w:t xml:space="preserve"> </w:t>
            </w:r>
            <w:r w:rsidRPr="00C875E8">
              <w:rPr>
                <w:rFonts w:ascii="Times New Roman" w:hAnsi="Times New Roman"/>
                <w:b w:val="0"/>
                <w:sz w:val="24"/>
              </w:rPr>
              <w:t>place.</w:t>
            </w:r>
          </w:p>
        </w:tc>
      </w:tr>
      <w:tr w:rsidR="00C875E8" w:rsidRPr="00C875E8" w:rsidTr="007B4DF9">
        <w:trPr>
          <w:cantSplit/>
        </w:trPr>
        <w:tc>
          <w:tcPr>
            <w:tcW w:w="1477" w:type="pct"/>
          </w:tcPr>
          <w:p w:rsidR="00C875E8" w:rsidRPr="00C875E8" w:rsidRDefault="00C875E8" w:rsidP="003D54AE">
            <w:pPr>
              <w:autoSpaceDE w:val="0"/>
              <w:autoSpaceDN w:val="0"/>
              <w:adjustRightInd w:val="0"/>
              <w:rPr>
                <w:bCs/>
                <w:sz w:val="24"/>
              </w:rPr>
            </w:pPr>
            <w:r w:rsidRPr="00C875E8">
              <w:rPr>
                <w:sz w:val="24"/>
              </w:rPr>
              <w:t>Information Technology Infrastructure Library</w:t>
            </w:r>
            <w:r w:rsidRPr="00C875E8">
              <w:rPr>
                <w:sz w:val="24"/>
              </w:rPr>
              <w:br/>
              <w:t>(ITIL)</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A cohesive set of best practices, drawn from the public and private sectors internationally.</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sz w:val="24"/>
              </w:rPr>
              <w:t>Information Technology Service Management</w:t>
            </w:r>
            <w:r w:rsidRPr="00C875E8">
              <w:rPr>
                <w:sz w:val="24"/>
              </w:rPr>
              <w:br/>
              <w:t>(ITSM)</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A best practice approach driven both by technology and organizational environments on managing IT services as a whole.</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t>IT Bulletins</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Information Technology (IT) bulletins which are issued by the Governor’s Office of Administration to set IT policy.</w:t>
            </w:r>
          </w:p>
        </w:tc>
      </w:tr>
      <w:tr w:rsidR="00C875E8" w:rsidRPr="00C875E8" w:rsidTr="007B4DF9">
        <w:trPr>
          <w:cantSplit/>
        </w:trPr>
        <w:tc>
          <w:tcPr>
            <w:tcW w:w="1477" w:type="pct"/>
          </w:tcPr>
          <w:p w:rsidR="00C875E8" w:rsidRPr="00C875E8" w:rsidRDefault="00C875E8" w:rsidP="003D54AE">
            <w:pPr>
              <w:rPr>
                <w:sz w:val="24"/>
              </w:rPr>
            </w:pPr>
            <w:r w:rsidRPr="00C875E8">
              <w:rPr>
                <w:sz w:val="24"/>
              </w:rPr>
              <w:t>Key Measurements</w:t>
            </w:r>
            <w:r w:rsidRPr="00C875E8">
              <w:rPr>
                <w:sz w:val="24"/>
              </w:rPr>
              <w:br/>
              <w:t xml:space="preserve">(KMs) </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Performance target measurements for non-critical service areas.</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t>Key Personnel</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The Offeror’s named staff that the Commonwealth determined to be critical to the success of the Project and require the Offeror to provide as defined and governed in Schedule G – Staffing Plan and Key Positions.</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sz w:val="24"/>
              </w:rPr>
              <w:t>Key Positions</w:t>
            </w:r>
          </w:p>
        </w:tc>
        <w:tc>
          <w:tcPr>
            <w:tcW w:w="3523" w:type="pct"/>
          </w:tcPr>
          <w:p w:rsidR="00C875E8" w:rsidRPr="00C875E8" w:rsidRDefault="00C875E8" w:rsidP="005F1D4A">
            <w:pPr>
              <w:pStyle w:val="HeadingTable"/>
              <w:jc w:val="both"/>
              <w:rPr>
                <w:rFonts w:ascii="Times New Roman" w:hAnsi="Times New Roman"/>
                <w:b w:val="0"/>
                <w:strike/>
                <w:color w:val="000000"/>
                <w:sz w:val="24"/>
              </w:rPr>
            </w:pPr>
            <w:r w:rsidRPr="00C875E8">
              <w:rPr>
                <w:rFonts w:ascii="Times New Roman" w:hAnsi="Times New Roman"/>
                <w:b w:val="0"/>
                <w:sz w:val="24"/>
              </w:rPr>
              <w:t>The positions that the Commonwealth determined to be critical to the success of the Project and require the Offeror to provide as defined and governed in Schedule G – Staffing Plan and Key Positions</w:t>
            </w:r>
          </w:p>
        </w:tc>
      </w:tr>
      <w:tr w:rsidR="00C875E8" w:rsidRPr="00C875E8" w:rsidTr="007B4DF9">
        <w:trPr>
          <w:cantSplit/>
        </w:trPr>
        <w:tc>
          <w:tcPr>
            <w:tcW w:w="1477" w:type="pct"/>
          </w:tcPr>
          <w:p w:rsidR="00C875E8" w:rsidRPr="00C875E8" w:rsidRDefault="00C875E8" w:rsidP="003D54AE">
            <w:pPr>
              <w:autoSpaceDE w:val="0"/>
              <w:autoSpaceDN w:val="0"/>
              <w:adjustRightInd w:val="0"/>
              <w:rPr>
                <w:bCs/>
                <w:sz w:val="24"/>
              </w:rPr>
            </w:pPr>
            <w:r w:rsidRPr="00C875E8">
              <w:rPr>
                <w:color w:val="000000"/>
                <w:sz w:val="24"/>
              </w:rPr>
              <w:t>Knowledge/Service Management Portal (KMP)</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A software recording tool the Offeror uses to record all incidents, problems, service requests, change requests, and configuration information.  All updates to the records, contacts with clients or vendors, and resolutions will be recorded in a real-time and consistent manner.</w:t>
            </w:r>
          </w:p>
        </w:tc>
      </w:tr>
      <w:tr w:rsidR="00C875E8" w:rsidRPr="00C875E8" w:rsidTr="007B4DF9">
        <w:trPr>
          <w:cantSplit/>
        </w:trPr>
        <w:tc>
          <w:tcPr>
            <w:tcW w:w="1477" w:type="pct"/>
          </w:tcPr>
          <w:p w:rsidR="00C875E8" w:rsidRPr="00C875E8" w:rsidRDefault="00C875E8" w:rsidP="003D54AE">
            <w:pPr>
              <w:rPr>
                <w:sz w:val="24"/>
              </w:rPr>
            </w:pPr>
            <w:r w:rsidRPr="00C875E8">
              <w:rPr>
                <w:bCs/>
                <w:sz w:val="24"/>
              </w:rPr>
              <w:t>Management Committee</w:t>
            </w:r>
          </w:p>
        </w:tc>
        <w:tc>
          <w:tcPr>
            <w:tcW w:w="3523" w:type="pct"/>
          </w:tcPr>
          <w:p w:rsidR="00C875E8" w:rsidRPr="00C875E8" w:rsidRDefault="00C875E8" w:rsidP="003D54AE">
            <w:pPr>
              <w:rPr>
                <w:sz w:val="24"/>
              </w:rPr>
            </w:pPr>
            <w:r w:rsidRPr="00C875E8">
              <w:rPr>
                <w:sz w:val="24"/>
              </w:rPr>
              <w:t>A committee comprised of ten members, five of whom shall be appointed by Commonwealth and five of whom shall be appointed by Offeror from Offeror's executive management staff.</w:t>
            </w:r>
          </w:p>
        </w:tc>
      </w:tr>
      <w:tr w:rsidR="00C875E8" w:rsidRPr="00C875E8" w:rsidTr="007B4DF9">
        <w:trPr>
          <w:cantSplit/>
        </w:trPr>
        <w:tc>
          <w:tcPr>
            <w:tcW w:w="1477" w:type="pct"/>
          </w:tcPr>
          <w:p w:rsidR="00C875E8" w:rsidRPr="00C875E8" w:rsidRDefault="00C875E8" w:rsidP="003D54AE">
            <w:pPr>
              <w:autoSpaceDE w:val="0"/>
              <w:autoSpaceDN w:val="0"/>
              <w:adjustRightInd w:val="0"/>
              <w:rPr>
                <w:bCs/>
                <w:sz w:val="24"/>
              </w:rPr>
            </w:pPr>
            <w:r w:rsidRPr="00C875E8">
              <w:rPr>
                <w:sz w:val="24"/>
              </w:rPr>
              <w:t>Market Rate</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The average of amounts paid by the reference group for comparable services.</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lastRenderedPageBreak/>
              <w:t>Measurement Period</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The nine (9) consecutive months of measurements during which Baseline Data will be measured, which may be used by the Commonwealth and the Offeror to determine Service Level Target and/or Minimum Service Levels. The Offeror will measure, collect and report to the Commonwealth the relevant measurements during such period.</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sz w:val="24"/>
              </w:rPr>
              <w:t>Measurement Window</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Shall mean the periodic evaluation and reporting frequency for each individual Service Level as specified in Schedule J.2 (Datacenter Service Level Matrix) (</w:t>
            </w:r>
            <w:r w:rsidRPr="00C875E8">
              <w:rPr>
                <w:rFonts w:ascii="Times New Roman" w:hAnsi="Times New Roman"/>
                <w:b w:val="0"/>
                <w:i/>
                <w:sz w:val="24"/>
              </w:rPr>
              <w:t>e.g.</w:t>
            </w:r>
            <w:r w:rsidRPr="00C875E8">
              <w:rPr>
                <w:rFonts w:ascii="Times New Roman" w:hAnsi="Times New Roman"/>
                <w:b w:val="0"/>
                <w:sz w:val="24"/>
              </w:rPr>
              <w:t>, monthly, quarterly, semi-annually, annually).</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t>Milestone</w:t>
            </w:r>
          </w:p>
        </w:tc>
        <w:tc>
          <w:tcPr>
            <w:tcW w:w="3523" w:type="pct"/>
          </w:tcPr>
          <w:p w:rsidR="00C875E8" w:rsidRPr="00C875E8" w:rsidRDefault="00C875E8" w:rsidP="003D54AE">
            <w:pPr>
              <w:pStyle w:val="HeadingTable"/>
              <w:jc w:val="both"/>
              <w:rPr>
                <w:rFonts w:ascii="Times New Roman" w:hAnsi="Times New Roman"/>
                <w:b w:val="0"/>
                <w:color w:val="000000"/>
                <w:sz w:val="24"/>
              </w:rPr>
            </w:pPr>
            <w:r w:rsidRPr="00C875E8">
              <w:rPr>
                <w:rFonts w:ascii="Times New Roman" w:hAnsi="Times New Roman"/>
                <w:b w:val="0"/>
                <w:sz w:val="24"/>
                <w:szCs w:val="16"/>
              </w:rPr>
              <w:t>A Transition Milestone, Transformation Milestone or Critical Milestone</w:t>
            </w:r>
          </w:p>
        </w:tc>
      </w:tr>
      <w:tr w:rsidR="00C875E8" w:rsidRPr="00C875E8" w:rsidTr="007B4DF9">
        <w:trPr>
          <w:cantSplit/>
        </w:trPr>
        <w:tc>
          <w:tcPr>
            <w:tcW w:w="1477" w:type="pct"/>
          </w:tcPr>
          <w:p w:rsidR="00C875E8" w:rsidRPr="00C875E8" w:rsidRDefault="00C875E8" w:rsidP="003D54AE">
            <w:pPr>
              <w:autoSpaceDE w:val="0"/>
              <w:autoSpaceDN w:val="0"/>
              <w:adjustRightInd w:val="0"/>
              <w:rPr>
                <w:bCs/>
                <w:sz w:val="24"/>
              </w:rPr>
            </w:pPr>
            <w:r w:rsidRPr="00C875E8">
              <w:rPr>
                <w:sz w:val="24"/>
              </w:rPr>
              <w:t>Milestone Credit</w:t>
            </w:r>
          </w:p>
        </w:tc>
        <w:tc>
          <w:tcPr>
            <w:tcW w:w="3523" w:type="pct"/>
          </w:tcPr>
          <w:p w:rsidR="00C875E8" w:rsidRPr="00C875E8" w:rsidRDefault="00C875E8" w:rsidP="00CF1825">
            <w:pPr>
              <w:pStyle w:val="HeadingTable"/>
              <w:jc w:val="both"/>
              <w:rPr>
                <w:rFonts w:ascii="Times New Roman" w:hAnsi="Times New Roman"/>
                <w:b w:val="0"/>
                <w:sz w:val="24"/>
              </w:rPr>
            </w:pPr>
            <w:r w:rsidRPr="00C875E8">
              <w:rPr>
                <w:rFonts w:ascii="Times New Roman" w:hAnsi="Times New Roman"/>
                <w:b w:val="0"/>
                <w:sz w:val="24"/>
              </w:rPr>
              <w:t>The invoice credits due the Commonwealth if the Offeror fails to attain a Milestone defined in Schedule D - Transition Milestones.</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t>Milestone Credit</w:t>
            </w:r>
          </w:p>
        </w:tc>
        <w:tc>
          <w:tcPr>
            <w:tcW w:w="3523" w:type="pct"/>
          </w:tcPr>
          <w:p w:rsidR="00C875E8" w:rsidRPr="00C875E8" w:rsidRDefault="00C875E8" w:rsidP="001E3A35">
            <w:pPr>
              <w:pStyle w:val="HeadingTable"/>
              <w:jc w:val="both"/>
              <w:rPr>
                <w:rFonts w:ascii="Times New Roman" w:hAnsi="Times New Roman"/>
                <w:b w:val="0"/>
                <w:sz w:val="24"/>
              </w:rPr>
            </w:pPr>
            <w:r w:rsidRPr="00C875E8">
              <w:rPr>
                <w:rFonts w:ascii="Times New Roman" w:hAnsi="Times New Roman"/>
                <w:b w:val="0"/>
                <w:sz w:val="24"/>
              </w:rPr>
              <w:t>The credit to be paid by Offeror for missing a Transition Milestone, as set out in Schedule D (Transition Milestones).</w:t>
            </w:r>
          </w:p>
        </w:tc>
      </w:tr>
      <w:tr w:rsidR="00C875E8" w:rsidRPr="00C875E8" w:rsidTr="007B4DF9">
        <w:trPr>
          <w:cantSplit/>
        </w:trPr>
        <w:tc>
          <w:tcPr>
            <w:tcW w:w="1477" w:type="pct"/>
          </w:tcPr>
          <w:p w:rsidR="00C875E8" w:rsidRPr="00C875E8" w:rsidRDefault="00C875E8" w:rsidP="003D54AE">
            <w:pPr>
              <w:rPr>
                <w:bCs/>
                <w:sz w:val="24"/>
              </w:rPr>
            </w:pPr>
            <w:r w:rsidRPr="00C875E8">
              <w:rPr>
                <w:sz w:val="24"/>
              </w:rPr>
              <w:t>Milestone Due Date</w:t>
            </w:r>
          </w:p>
        </w:tc>
        <w:tc>
          <w:tcPr>
            <w:tcW w:w="3523" w:type="pct"/>
          </w:tcPr>
          <w:p w:rsidR="00C875E8" w:rsidRPr="00C875E8" w:rsidRDefault="00C875E8" w:rsidP="001E3A35">
            <w:pPr>
              <w:rPr>
                <w:sz w:val="24"/>
              </w:rPr>
            </w:pPr>
            <w:r w:rsidRPr="00C875E8">
              <w:rPr>
                <w:sz w:val="24"/>
              </w:rPr>
              <w:t>The date the Offeror will not exceed as specified within Schedule D (Transition Milestones).</w:t>
            </w:r>
          </w:p>
        </w:tc>
      </w:tr>
      <w:tr w:rsidR="00C875E8" w:rsidRPr="00C875E8" w:rsidTr="007B4DF9">
        <w:trPr>
          <w:cantSplit/>
        </w:trPr>
        <w:tc>
          <w:tcPr>
            <w:tcW w:w="1477" w:type="pct"/>
          </w:tcPr>
          <w:p w:rsidR="00C875E8" w:rsidRPr="00C875E8" w:rsidRDefault="00C875E8" w:rsidP="003D54AE">
            <w:pPr>
              <w:autoSpaceDE w:val="0"/>
              <w:autoSpaceDN w:val="0"/>
              <w:adjustRightInd w:val="0"/>
              <w:rPr>
                <w:bCs/>
                <w:sz w:val="24"/>
              </w:rPr>
            </w:pPr>
            <w:r w:rsidRPr="00C875E8">
              <w:rPr>
                <w:bCs/>
                <w:sz w:val="24"/>
              </w:rPr>
              <w:t>Monitoring System</w:t>
            </w:r>
          </w:p>
        </w:tc>
        <w:tc>
          <w:tcPr>
            <w:tcW w:w="3523" w:type="pct"/>
          </w:tcPr>
          <w:p w:rsidR="00C875E8" w:rsidRPr="00C875E8" w:rsidRDefault="00C875E8" w:rsidP="003D54AE">
            <w:pPr>
              <w:pStyle w:val="HeadingTable"/>
              <w:jc w:val="both"/>
              <w:rPr>
                <w:rFonts w:ascii="Times New Roman" w:hAnsi="Times New Roman"/>
                <w:b w:val="0"/>
                <w:color w:val="000000"/>
                <w:sz w:val="24"/>
              </w:rPr>
            </w:pPr>
            <w:r w:rsidRPr="00C875E8">
              <w:rPr>
                <w:rFonts w:ascii="Times New Roman" w:hAnsi="Times New Roman"/>
                <w:b w:val="0"/>
                <w:bCs/>
                <w:sz w:val="24"/>
              </w:rPr>
              <w:t>The hardware and software used to monitor the performance, capacity, and other events occurring around or within a service provided to the Commonwealth.</w:t>
            </w:r>
          </w:p>
        </w:tc>
      </w:tr>
      <w:tr w:rsidR="00C875E8" w:rsidRPr="00C875E8" w:rsidTr="007B4DF9">
        <w:trPr>
          <w:cantSplit/>
        </w:trPr>
        <w:tc>
          <w:tcPr>
            <w:tcW w:w="1477" w:type="pct"/>
          </w:tcPr>
          <w:p w:rsidR="00C875E8" w:rsidRPr="00C875E8" w:rsidRDefault="00C875E8" w:rsidP="003D54AE">
            <w:pPr>
              <w:autoSpaceDE w:val="0"/>
              <w:autoSpaceDN w:val="0"/>
              <w:adjustRightInd w:val="0"/>
              <w:rPr>
                <w:bCs/>
                <w:sz w:val="24"/>
              </w:rPr>
            </w:pPr>
            <w:r w:rsidRPr="00C875E8">
              <w:rPr>
                <w:sz w:val="24"/>
              </w:rPr>
              <w:t>OA Service Desk</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The department responsible for Tier I troubleshooting support to the end users by taking requests from end-users and performing triage on the request and escalate as necessary</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t>Offeror Personnel</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The personnel of Offeror and its Subcontractors who provide or are involved in the provision of the Services.</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p>
        </w:tc>
        <w:tc>
          <w:tcPr>
            <w:tcW w:w="3523" w:type="pct"/>
          </w:tcPr>
          <w:p w:rsidR="00C875E8" w:rsidRPr="00C875E8" w:rsidRDefault="00C875E8" w:rsidP="003D54AE">
            <w:pPr>
              <w:pStyle w:val="HeadingTable"/>
              <w:jc w:val="both"/>
              <w:rPr>
                <w:rFonts w:ascii="Times New Roman" w:hAnsi="Times New Roman"/>
                <w:b w:val="0"/>
                <w:sz w:val="24"/>
              </w:rPr>
            </w:pP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t>Offeror Services Locations</w:t>
            </w:r>
          </w:p>
        </w:tc>
        <w:tc>
          <w:tcPr>
            <w:tcW w:w="3523" w:type="pct"/>
          </w:tcPr>
          <w:p w:rsidR="00C875E8" w:rsidRPr="00C875E8" w:rsidRDefault="00C875E8" w:rsidP="00993BCB">
            <w:pPr>
              <w:pStyle w:val="HeadingTable"/>
              <w:jc w:val="both"/>
              <w:rPr>
                <w:rFonts w:ascii="Times New Roman" w:hAnsi="Times New Roman"/>
                <w:b w:val="0"/>
                <w:sz w:val="24"/>
              </w:rPr>
            </w:pPr>
            <w:r w:rsidRPr="00C875E8">
              <w:rPr>
                <w:rFonts w:ascii="Times New Roman" w:hAnsi="Times New Roman"/>
                <w:b w:val="0"/>
                <w:sz w:val="24"/>
              </w:rPr>
              <w:t>The service locations owned, leased or under the control of Offeror or its subcontractors that are set forth in Schedule E (Datacenter Locations).</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t>Offeror’s Proposal</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The proposal submitted by the selected Offeror in response to the RFP.</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sz w:val="24"/>
              </w:rPr>
              <w:lastRenderedPageBreak/>
              <w:t>Office of Administration</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color w:val="000000"/>
                <w:sz w:val="24"/>
              </w:rPr>
              <w:t>An organization within the Commonwealth that provides information technology, human resource, records management, and continuity of government services</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sz w:val="24"/>
              </w:rPr>
              <w:t>Office of Attorney General</w:t>
            </w:r>
            <w:r w:rsidRPr="00C875E8">
              <w:rPr>
                <w:sz w:val="24"/>
              </w:rPr>
              <w:br/>
              <w:t>(OAG)</w:t>
            </w:r>
          </w:p>
        </w:tc>
        <w:tc>
          <w:tcPr>
            <w:tcW w:w="3523" w:type="pct"/>
          </w:tcPr>
          <w:p w:rsidR="00C875E8" w:rsidRPr="00C875E8" w:rsidRDefault="00C875E8" w:rsidP="00993BCB">
            <w:pPr>
              <w:pStyle w:val="HeadingTable"/>
              <w:jc w:val="both"/>
              <w:rPr>
                <w:rFonts w:ascii="Times New Roman" w:hAnsi="Times New Roman"/>
                <w:b w:val="0"/>
                <w:sz w:val="24"/>
              </w:rPr>
            </w:pPr>
            <w:r w:rsidRPr="00C875E8">
              <w:rPr>
                <w:rStyle w:val="mediabar"/>
                <w:rFonts w:ascii="Times New Roman" w:hAnsi="Times New Roman"/>
                <w:b w:val="0"/>
                <w:color w:val="000000"/>
                <w:sz w:val="24"/>
              </w:rPr>
              <w:t>The office of Pennsylvania's top law enforcement official, which has a wide range of responsibility to protect and serve the citizens and agencies of the Commonwealth.</w:t>
            </w:r>
          </w:p>
        </w:tc>
      </w:tr>
      <w:tr w:rsidR="00C875E8" w:rsidRPr="00C875E8" w:rsidTr="007B4DF9">
        <w:trPr>
          <w:cantSplit/>
        </w:trPr>
        <w:tc>
          <w:tcPr>
            <w:tcW w:w="1477" w:type="pct"/>
            <w:shd w:val="clear" w:color="auto" w:fill="FFFFFF"/>
          </w:tcPr>
          <w:p w:rsidR="00C875E8" w:rsidRPr="00C875E8" w:rsidRDefault="00C875E8" w:rsidP="003D54AE">
            <w:pPr>
              <w:autoSpaceDE w:val="0"/>
              <w:autoSpaceDN w:val="0"/>
              <w:adjustRightInd w:val="0"/>
              <w:rPr>
                <w:i/>
                <w:iCs/>
                <w:sz w:val="24"/>
              </w:rPr>
            </w:pPr>
            <w:r w:rsidRPr="00C875E8">
              <w:rPr>
                <w:sz w:val="24"/>
              </w:rPr>
              <w:t>Office of Inspector General</w:t>
            </w:r>
          </w:p>
        </w:tc>
        <w:tc>
          <w:tcPr>
            <w:tcW w:w="3523" w:type="pct"/>
            <w:shd w:val="clear" w:color="auto" w:fill="FFFFFF"/>
          </w:tcPr>
          <w:p w:rsidR="00C875E8" w:rsidRPr="00C875E8" w:rsidRDefault="00C875E8" w:rsidP="00993BCB">
            <w:pPr>
              <w:pStyle w:val="HeadingTable"/>
              <w:jc w:val="both"/>
              <w:rPr>
                <w:rFonts w:ascii="Times New Roman" w:hAnsi="Times New Roman"/>
                <w:b w:val="0"/>
                <w:sz w:val="24"/>
              </w:rPr>
            </w:pPr>
            <w:r w:rsidRPr="00C875E8">
              <w:rPr>
                <w:rFonts w:ascii="Times New Roman" w:hAnsi="Times New Roman"/>
                <w:b w:val="0"/>
                <w:color w:val="000000"/>
                <w:sz w:val="24"/>
              </w:rPr>
              <w:t>An organization within the Commonwealth that works to prevent or find fraud, waste, and abuse in the Commonwealth’s programs, operations, and contracts.</w:t>
            </w:r>
          </w:p>
        </w:tc>
      </w:tr>
      <w:tr w:rsidR="00C875E8" w:rsidRPr="00C875E8" w:rsidTr="007B4DF9">
        <w:trPr>
          <w:cantSplit/>
        </w:trPr>
        <w:tc>
          <w:tcPr>
            <w:tcW w:w="1477" w:type="pct"/>
          </w:tcPr>
          <w:p w:rsidR="00C875E8" w:rsidRPr="00C875E8" w:rsidRDefault="00C875E8" w:rsidP="003D54AE">
            <w:pPr>
              <w:autoSpaceDE w:val="0"/>
              <w:autoSpaceDN w:val="0"/>
              <w:adjustRightInd w:val="0"/>
              <w:rPr>
                <w:bCs/>
                <w:sz w:val="24"/>
              </w:rPr>
            </w:pPr>
            <w:r w:rsidRPr="00C875E8">
              <w:rPr>
                <w:bCs/>
                <w:sz w:val="24"/>
              </w:rPr>
              <w:t>Outage</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Any service interruption that is or may be experienced by the end-users of the service, application, or equipment.</w:t>
            </w:r>
          </w:p>
        </w:tc>
      </w:tr>
      <w:tr w:rsidR="00C875E8" w:rsidRPr="00C875E8" w:rsidTr="007B4DF9">
        <w:trPr>
          <w:cantSplit/>
        </w:trPr>
        <w:tc>
          <w:tcPr>
            <w:tcW w:w="1477" w:type="pct"/>
          </w:tcPr>
          <w:p w:rsidR="00C875E8" w:rsidRPr="00C875E8" w:rsidRDefault="00C875E8" w:rsidP="003D54AE">
            <w:pPr>
              <w:rPr>
                <w:sz w:val="24"/>
              </w:rPr>
            </w:pPr>
            <w:r w:rsidRPr="00C875E8">
              <w:rPr>
                <w:sz w:val="24"/>
              </w:rPr>
              <w:t>P Series Servers</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A general reference to the IBM collection of servers that typically operate on the AIX operating system.</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sz w:val="24"/>
              </w:rPr>
              <w:t>Payment Card Industry Data Security Standard</w:t>
            </w:r>
            <w:r w:rsidRPr="00C875E8">
              <w:rPr>
                <w:sz w:val="24"/>
              </w:rPr>
              <w:br/>
              <w:t>(PCI DSS)</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An actionable framework for developing a robust payment card data security process -- including prevention, detection and appropriate reaction to security incidents.</w:t>
            </w:r>
          </w:p>
        </w:tc>
      </w:tr>
      <w:tr w:rsidR="00C875E8" w:rsidRPr="00C875E8" w:rsidTr="007B4DF9">
        <w:trPr>
          <w:cantSplit/>
        </w:trPr>
        <w:tc>
          <w:tcPr>
            <w:tcW w:w="1477" w:type="pct"/>
            <w:shd w:val="clear" w:color="auto" w:fill="FFFFFF"/>
          </w:tcPr>
          <w:p w:rsidR="00C875E8" w:rsidRPr="00C875E8" w:rsidRDefault="00C875E8" w:rsidP="003D54AE">
            <w:pPr>
              <w:autoSpaceDE w:val="0"/>
              <w:autoSpaceDN w:val="0"/>
              <w:adjustRightInd w:val="0"/>
              <w:rPr>
                <w:sz w:val="24"/>
              </w:rPr>
            </w:pPr>
            <w:r w:rsidRPr="00C875E8">
              <w:rPr>
                <w:sz w:val="24"/>
              </w:rPr>
              <w:t>Pennsylvania</w:t>
            </w:r>
          </w:p>
        </w:tc>
        <w:tc>
          <w:tcPr>
            <w:tcW w:w="3523" w:type="pct"/>
            <w:shd w:val="clear" w:color="auto" w:fill="FFFFFF"/>
          </w:tcPr>
          <w:p w:rsidR="00C875E8" w:rsidRPr="00C875E8" w:rsidDel="007B2151" w:rsidRDefault="00C875E8" w:rsidP="003D54AE">
            <w:pPr>
              <w:pStyle w:val="HeadingTable"/>
              <w:jc w:val="both"/>
              <w:rPr>
                <w:rFonts w:ascii="Times New Roman" w:hAnsi="Times New Roman"/>
                <w:b w:val="0"/>
                <w:sz w:val="24"/>
              </w:rPr>
            </w:pPr>
            <w:r w:rsidRPr="00C875E8">
              <w:rPr>
                <w:rFonts w:ascii="Times New Roman" w:hAnsi="Times New Roman"/>
                <w:b w:val="0"/>
                <w:sz w:val="24"/>
              </w:rPr>
              <w:t>The Commonwealth of Pennsylvania.</w:t>
            </w:r>
          </w:p>
        </w:tc>
      </w:tr>
      <w:tr w:rsidR="00C875E8" w:rsidRPr="00C875E8" w:rsidTr="007B4DF9">
        <w:trPr>
          <w:cantSplit/>
        </w:trPr>
        <w:tc>
          <w:tcPr>
            <w:tcW w:w="1477" w:type="pct"/>
            <w:shd w:val="clear" w:color="auto" w:fill="FFFFFF"/>
          </w:tcPr>
          <w:p w:rsidR="00C875E8" w:rsidRPr="00C875E8" w:rsidRDefault="00C875E8" w:rsidP="003D54AE">
            <w:pPr>
              <w:autoSpaceDE w:val="0"/>
              <w:autoSpaceDN w:val="0"/>
              <w:adjustRightInd w:val="0"/>
              <w:rPr>
                <w:iCs/>
                <w:sz w:val="24"/>
              </w:rPr>
            </w:pPr>
            <w:r w:rsidRPr="00C875E8">
              <w:rPr>
                <w:iCs/>
                <w:sz w:val="24"/>
              </w:rPr>
              <w:t>Pennsylvania Election Code</w:t>
            </w:r>
          </w:p>
        </w:tc>
        <w:tc>
          <w:tcPr>
            <w:tcW w:w="3523" w:type="pct"/>
            <w:shd w:val="clear" w:color="auto" w:fill="FFFFFF"/>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color w:val="222222"/>
                <w:sz w:val="24"/>
              </w:rPr>
              <w:t xml:space="preserve">The act of June 3, 1937 (P.L.1333, No.320), known as the </w:t>
            </w:r>
            <w:r w:rsidRPr="00C875E8">
              <w:rPr>
                <w:rFonts w:ascii="Times New Roman" w:hAnsi="Times New Roman"/>
                <w:b w:val="0"/>
                <w:bCs/>
                <w:color w:val="222222"/>
                <w:sz w:val="24"/>
              </w:rPr>
              <w:t>Pennsylvania Election Code.</w:t>
            </w:r>
          </w:p>
        </w:tc>
      </w:tr>
      <w:tr w:rsidR="00C875E8" w:rsidRPr="00C875E8" w:rsidTr="007B4DF9">
        <w:trPr>
          <w:cantSplit/>
        </w:trPr>
        <w:tc>
          <w:tcPr>
            <w:tcW w:w="1477" w:type="pct"/>
            <w:shd w:val="clear" w:color="auto" w:fill="FFFFFF"/>
          </w:tcPr>
          <w:p w:rsidR="00C875E8" w:rsidRPr="00C875E8" w:rsidRDefault="00C875E8" w:rsidP="003D54AE">
            <w:pPr>
              <w:autoSpaceDE w:val="0"/>
              <w:autoSpaceDN w:val="0"/>
              <w:adjustRightInd w:val="0"/>
              <w:rPr>
                <w:snapToGrid w:val="0"/>
                <w:sz w:val="24"/>
              </w:rPr>
            </w:pPr>
            <w:r w:rsidRPr="00C875E8">
              <w:rPr>
                <w:iCs/>
                <w:sz w:val="24"/>
              </w:rPr>
              <w:t>Pennsylvania Right-to-Know Law (“RTKL”)</w:t>
            </w:r>
          </w:p>
        </w:tc>
        <w:tc>
          <w:tcPr>
            <w:tcW w:w="3523" w:type="pct"/>
            <w:shd w:val="clear" w:color="auto" w:fill="FFFFFF"/>
          </w:tcPr>
          <w:p w:rsidR="00C875E8" w:rsidRPr="00C875E8" w:rsidRDefault="00C875E8" w:rsidP="006268AB">
            <w:pPr>
              <w:pStyle w:val="HeadingTable"/>
              <w:jc w:val="both"/>
              <w:rPr>
                <w:rFonts w:ascii="Times New Roman" w:hAnsi="Times New Roman"/>
                <w:b w:val="0"/>
                <w:sz w:val="24"/>
              </w:rPr>
            </w:pPr>
            <w:r w:rsidRPr="00C875E8">
              <w:rPr>
                <w:rFonts w:ascii="Times New Roman" w:hAnsi="Times New Roman"/>
                <w:b w:val="0"/>
                <w:color w:val="222222"/>
                <w:sz w:val="24"/>
              </w:rPr>
              <w:t>The Pennsylvania Right-to-Know Law, 65 P.S. §§ 67.101-3104.</w:t>
            </w:r>
          </w:p>
        </w:tc>
      </w:tr>
      <w:tr w:rsidR="00C875E8" w:rsidRPr="00C875E8" w:rsidTr="007B4DF9">
        <w:trPr>
          <w:cantSplit/>
        </w:trPr>
        <w:tc>
          <w:tcPr>
            <w:tcW w:w="1477" w:type="pct"/>
          </w:tcPr>
          <w:p w:rsidR="00C875E8" w:rsidRPr="00C875E8" w:rsidRDefault="00C875E8" w:rsidP="003D54AE">
            <w:pPr>
              <w:autoSpaceDE w:val="0"/>
              <w:autoSpaceDN w:val="0"/>
              <w:adjustRightInd w:val="0"/>
              <w:rPr>
                <w:bCs/>
                <w:sz w:val="24"/>
              </w:rPr>
            </w:pPr>
            <w:r w:rsidRPr="00C875E8">
              <w:rPr>
                <w:sz w:val="24"/>
              </w:rPr>
              <w:t>Power Usage Effectiveness ratio</w:t>
            </w:r>
            <w:r w:rsidRPr="00C875E8">
              <w:rPr>
                <w:sz w:val="24"/>
              </w:rPr>
              <w:br/>
              <w:t>(PUE)</w:t>
            </w:r>
          </w:p>
        </w:tc>
        <w:tc>
          <w:tcPr>
            <w:tcW w:w="3523" w:type="pct"/>
          </w:tcPr>
          <w:p w:rsidR="00C875E8" w:rsidRPr="00C875E8" w:rsidRDefault="00C875E8" w:rsidP="00C43E9B">
            <w:pPr>
              <w:pStyle w:val="HeadingTable"/>
              <w:jc w:val="both"/>
              <w:rPr>
                <w:rFonts w:ascii="Times New Roman" w:hAnsi="Times New Roman"/>
                <w:b w:val="0"/>
                <w:sz w:val="24"/>
              </w:rPr>
            </w:pPr>
            <w:r w:rsidRPr="00C875E8">
              <w:rPr>
                <w:rFonts w:ascii="Times New Roman" w:hAnsi="Times New Roman"/>
                <w:b w:val="0"/>
                <w:sz w:val="24"/>
              </w:rPr>
              <w:t xml:space="preserve">A ratio that represents the amount of power consumption of compute versus the total power consumption of a facility as defined by the Green Grid consortium. </w:t>
            </w:r>
          </w:p>
        </w:tc>
      </w:tr>
      <w:tr w:rsidR="00C875E8" w:rsidRPr="00C875E8" w:rsidTr="007B4DF9">
        <w:trPr>
          <w:cantSplit/>
        </w:trPr>
        <w:tc>
          <w:tcPr>
            <w:tcW w:w="1477" w:type="pct"/>
            <w:shd w:val="clear" w:color="auto" w:fill="FFFFFF"/>
          </w:tcPr>
          <w:p w:rsidR="00C875E8" w:rsidRPr="00C875E8" w:rsidRDefault="00C875E8" w:rsidP="003D54AE">
            <w:pPr>
              <w:autoSpaceDE w:val="0"/>
              <w:autoSpaceDN w:val="0"/>
              <w:adjustRightInd w:val="0"/>
              <w:rPr>
                <w:bCs/>
                <w:sz w:val="24"/>
              </w:rPr>
            </w:pPr>
            <w:r w:rsidRPr="00C875E8">
              <w:rPr>
                <w:sz w:val="24"/>
              </w:rPr>
              <w:t>Prevailing Wage Act</w:t>
            </w:r>
          </w:p>
        </w:tc>
        <w:tc>
          <w:tcPr>
            <w:tcW w:w="3523" w:type="pct"/>
            <w:shd w:val="clear" w:color="auto" w:fill="FFFFFF"/>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color w:val="000000"/>
                <w:sz w:val="24"/>
              </w:rPr>
              <w:t>The Pennsylvania Prevailing Wage Act (43 P.S. §§ 165-1 through 165-17).</w:t>
            </w:r>
          </w:p>
        </w:tc>
      </w:tr>
      <w:tr w:rsidR="00C875E8" w:rsidRPr="00C875E8" w:rsidTr="007B4DF9">
        <w:trPr>
          <w:cantSplit/>
        </w:trPr>
        <w:tc>
          <w:tcPr>
            <w:tcW w:w="1477" w:type="pct"/>
            <w:shd w:val="clear" w:color="auto" w:fill="FFFFFF"/>
          </w:tcPr>
          <w:p w:rsidR="00C875E8" w:rsidRPr="00C875E8" w:rsidRDefault="00C875E8" w:rsidP="003D54AE">
            <w:pPr>
              <w:autoSpaceDE w:val="0"/>
              <w:autoSpaceDN w:val="0"/>
              <w:adjustRightInd w:val="0"/>
              <w:rPr>
                <w:sz w:val="24"/>
              </w:rPr>
            </w:pPr>
            <w:r w:rsidRPr="00C875E8">
              <w:rPr>
                <w:sz w:val="24"/>
              </w:rPr>
              <w:t>Problem</w:t>
            </w:r>
          </w:p>
        </w:tc>
        <w:tc>
          <w:tcPr>
            <w:tcW w:w="3523" w:type="pct"/>
            <w:shd w:val="clear" w:color="auto" w:fill="FFFFFF"/>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An ITIL term use to describe a failure or loss of capabilities of a Service where a temporary work around is in place.</w:t>
            </w:r>
          </w:p>
        </w:tc>
      </w:tr>
      <w:tr w:rsidR="00C875E8" w:rsidRPr="00C875E8" w:rsidTr="007B4DF9">
        <w:trPr>
          <w:cantSplit/>
        </w:trPr>
        <w:tc>
          <w:tcPr>
            <w:tcW w:w="1477" w:type="pct"/>
          </w:tcPr>
          <w:p w:rsidR="00C875E8" w:rsidRPr="00C875E8" w:rsidRDefault="00C875E8" w:rsidP="003D54AE">
            <w:pPr>
              <w:autoSpaceDE w:val="0"/>
              <w:autoSpaceDN w:val="0"/>
              <w:adjustRightInd w:val="0"/>
              <w:rPr>
                <w:bCs/>
                <w:sz w:val="24"/>
              </w:rPr>
            </w:pPr>
            <w:r w:rsidRPr="00C875E8">
              <w:rPr>
                <w:sz w:val="24"/>
              </w:rPr>
              <w:t xml:space="preserve">Program Management Office </w:t>
            </w:r>
            <w:r w:rsidRPr="00C875E8">
              <w:rPr>
                <w:sz w:val="24"/>
              </w:rPr>
              <w:br/>
              <w:t>(PMO)</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The organization with governance, implementation, and management of the overall engagement.</w:t>
            </w:r>
          </w:p>
        </w:tc>
      </w:tr>
      <w:tr w:rsidR="00C875E8" w:rsidRPr="00C875E8" w:rsidTr="007B4DF9">
        <w:trPr>
          <w:cantSplit/>
        </w:trPr>
        <w:tc>
          <w:tcPr>
            <w:tcW w:w="1477" w:type="pct"/>
          </w:tcPr>
          <w:p w:rsidR="00C875E8" w:rsidRPr="00C875E8" w:rsidRDefault="00C875E8" w:rsidP="003D54AE">
            <w:pPr>
              <w:autoSpaceDE w:val="0"/>
              <w:autoSpaceDN w:val="0"/>
              <w:adjustRightInd w:val="0"/>
              <w:rPr>
                <w:bCs/>
                <w:sz w:val="24"/>
              </w:rPr>
            </w:pPr>
            <w:r w:rsidRPr="00C875E8">
              <w:rPr>
                <w:color w:val="000000"/>
                <w:sz w:val="24"/>
              </w:rPr>
              <w:lastRenderedPageBreak/>
              <w:t>Project</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 xml:space="preserve">This </w:t>
            </w:r>
            <w:r w:rsidRPr="00C875E8">
              <w:rPr>
                <w:rFonts w:ascii="Times New Roman" w:hAnsi="Times New Roman"/>
                <w:b w:val="0"/>
                <w:bCs/>
                <w:sz w:val="24"/>
              </w:rPr>
              <w:t>Data Center Computing Services</w:t>
            </w:r>
            <w:r w:rsidRPr="00C875E8">
              <w:rPr>
                <w:rFonts w:ascii="Times New Roman" w:hAnsi="Times New Roman"/>
                <w:b w:val="0"/>
                <w:sz w:val="24"/>
              </w:rPr>
              <w:t xml:space="preserve"> procurement and resulting program supporting the Contract that is the results of this procurement.</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t>Protected Health Information</w:t>
            </w:r>
            <w:r w:rsidRPr="00C875E8">
              <w:rPr>
                <w:bCs/>
                <w:sz w:val="24"/>
              </w:rPr>
              <w:br/>
              <w:t>(PHI)</w:t>
            </w:r>
          </w:p>
        </w:tc>
        <w:tc>
          <w:tcPr>
            <w:tcW w:w="3523" w:type="pct"/>
          </w:tcPr>
          <w:p w:rsidR="00C875E8" w:rsidRPr="00C875E8" w:rsidRDefault="00C875E8" w:rsidP="003D54AE">
            <w:pPr>
              <w:pStyle w:val="HeadingTable"/>
              <w:jc w:val="both"/>
              <w:rPr>
                <w:rFonts w:ascii="Times New Roman" w:hAnsi="Times New Roman"/>
                <w:b w:val="0"/>
                <w:bCs/>
                <w:sz w:val="24"/>
              </w:rPr>
            </w:pPr>
            <w:r w:rsidRPr="00C875E8">
              <w:rPr>
                <w:rFonts w:ascii="Times New Roman" w:hAnsi="Times New Roman"/>
                <w:b w:val="0"/>
                <w:bCs/>
                <w:sz w:val="24"/>
              </w:rPr>
              <w:t>The meaning given to such term under HIPAA and the HIPAA Regulations in 45 C.F.R. Parts 160, 162 and 164, including, but not limited to 45 C.F.R. §160.103</w:t>
            </w:r>
          </w:p>
          <w:p w:rsidR="00C875E8" w:rsidRPr="00C875E8" w:rsidRDefault="00C875E8" w:rsidP="003D54AE">
            <w:pPr>
              <w:pStyle w:val="HeadingTable"/>
              <w:jc w:val="both"/>
              <w:rPr>
                <w:rFonts w:ascii="Times New Roman" w:hAnsi="Times New Roman"/>
                <w:b w:val="0"/>
                <w:sz w:val="24"/>
              </w:rPr>
            </w:pP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t>Purchase Order</w:t>
            </w:r>
          </w:p>
        </w:tc>
        <w:tc>
          <w:tcPr>
            <w:tcW w:w="3523" w:type="pct"/>
          </w:tcPr>
          <w:p w:rsidR="00C875E8" w:rsidRPr="00C875E8" w:rsidRDefault="00C875E8" w:rsidP="00F0335D">
            <w:pPr>
              <w:pStyle w:val="HeadingTable"/>
              <w:jc w:val="both"/>
              <w:rPr>
                <w:rFonts w:ascii="Times New Roman" w:hAnsi="Times New Roman"/>
                <w:b w:val="0"/>
                <w:sz w:val="24"/>
              </w:rPr>
            </w:pPr>
            <w:r w:rsidRPr="00C875E8">
              <w:rPr>
                <w:rFonts w:ascii="Times New Roman" w:hAnsi="Times New Roman"/>
                <w:b w:val="0"/>
                <w:sz w:val="24"/>
              </w:rPr>
              <w:t>Orders made in accordance with the ordering process set forth in Section 2 of Appendix A (Terms and Conditions)</w:t>
            </w:r>
            <w:r w:rsidR="00687B0D" w:rsidRPr="00C875E8">
              <w:rPr>
                <w:rFonts w:ascii="Times New Roman" w:hAnsi="Times New Roman"/>
                <w:b w:val="0"/>
                <w:sz w:val="24"/>
              </w:rPr>
              <w:t>.</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t>Regulatory Entity</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Any supervisory or governmental agency, body or authority having regulatory or supervisory authority over the Commonwealth, its agencies, the Offeror and subcontractor’s assets, resources or business and over the Services, including any organization reporting to such bodies.</w:t>
            </w:r>
          </w:p>
        </w:tc>
      </w:tr>
      <w:tr w:rsidR="00C875E8" w:rsidRPr="00C875E8" w:rsidTr="007B4DF9">
        <w:trPr>
          <w:cantSplit/>
        </w:trPr>
        <w:tc>
          <w:tcPr>
            <w:tcW w:w="1477" w:type="pct"/>
          </w:tcPr>
          <w:p w:rsidR="00C875E8" w:rsidRPr="00C875E8" w:rsidRDefault="00C875E8" w:rsidP="003D54AE">
            <w:pPr>
              <w:autoSpaceDE w:val="0"/>
              <w:autoSpaceDN w:val="0"/>
              <w:adjustRightInd w:val="0"/>
              <w:rPr>
                <w:bCs/>
                <w:sz w:val="24"/>
                <w:szCs w:val="22"/>
              </w:rPr>
            </w:pPr>
            <w:r w:rsidRPr="00C875E8">
              <w:rPr>
                <w:color w:val="000000"/>
                <w:sz w:val="24"/>
              </w:rPr>
              <w:t xml:space="preserve">Remote Hands Support </w:t>
            </w:r>
          </w:p>
        </w:tc>
        <w:tc>
          <w:tcPr>
            <w:tcW w:w="3523" w:type="pct"/>
          </w:tcPr>
          <w:p w:rsidR="00C875E8" w:rsidRPr="00C875E8" w:rsidDel="00A818D0" w:rsidRDefault="00C875E8" w:rsidP="00C43E9B">
            <w:pPr>
              <w:pStyle w:val="HeadingTable"/>
              <w:jc w:val="both"/>
              <w:rPr>
                <w:rFonts w:ascii="Times New Roman" w:hAnsi="Times New Roman"/>
                <w:b w:val="0"/>
                <w:sz w:val="24"/>
                <w:szCs w:val="22"/>
              </w:rPr>
            </w:pPr>
            <w:r w:rsidRPr="00C875E8">
              <w:rPr>
                <w:rFonts w:ascii="Times New Roman" w:hAnsi="Times New Roman"/>
                <w:b w:val="0"/>
                <w:color w:val="000000"/>
                <w:sz w:val="24"/>
              </w:rPr>
              <w:t xml:space="preserve">Shall mean the Time and Material effort by the Offeror to provide technical support to the Commonwealth in the support of the equipment in co-location  </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t>Request for Criminal Record Check</w:t>
            </w:r>
          </w:p>
        </w:tc>
        <w:tc>
          <w:tcPr>
            <w:tcW w:w="3523" w:type="pct"/>
          </w:tcPr>
          <w:p w:rsidR="00C875E8" w:rsidRPr="00C875E8" w:rsidRDefault="00C875E8">
            <w:pPr>
              <w:pStyle w:val="NormalWeb"/>
              <w:rPr>
                <w:rFonts w:ascii="Times New Roman" w:hAnsi="Times New Roman"/>
                <w:b/>
                <w:sz w:val="24"/>
                <w:szCs w:val="24"/>
              </w:rPr>
            </w:pPr>
            <w:r w:rsidRPr="00C875E8">
              <w:rPr>
                <w:rFonts w:ascii="Times New Roman" w:hAnsi="Times New Roman"/>
                <w:color w:val="auto"/>
                <w:sz w:val="24"/>
                <w:szCs w:val="24"/>
              </w:rPr>
              <w:t>The form and procedure for looking up and compiling criminal records, commercial records and financial records of an individual, a more fully set forth at  Section 44 of Appendix A (Terms and Conditions).</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spacing w:val="-3"/>
                <w:sz w:val="24"/>
              </w:rPr>
              <w:t>Request for Service</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The process used by the Commonwealth to order an addition, modification, or removal of a Service component or configuration using the Service Catalog.</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t>Required Service Level</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The expected level of performance for a CM or a KM, as applicable, as set forth in Schedule J.1 (Service Level Methodology).</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t>Required Service Level Default</w:t>
            </w:r>
          </w:p>
        </w:tc>
        <w:tc>
          <w:tcPr>
            <w:tcW w:w="3523" w:type="pct"/>
          </w:tcPr>
          <w:p w:rsidR="00C875E8" w:rsidRPr="00C875E8" w:rsidRDefault="00C875E8" w:rsidP="003D54AE">
            <w:pPr>
              <w:pStyle w:val="HeadingTable"/>
              <w:jc w:val="both"/>
              <w:rPr>
                <w:rFonts w:ascii="Times New Roman" w:hAnsi="Times New Roman"/>
                <w:b w:val="0"/>
                <w:sz w:val="24"/>
              </w:rPr>
            </w:pPr>
            <w:r w:rsidRPr="00C875E8">
              <w:rPr>
                <w:rFonts w:ascii="Times New Roman" w:hAnsi="Times New Roman"/>
                <w:b w:val="0"/>
                <w:sz w:val="24"/>
              </w:rPr>
              <w:t>A recurring failure of the Offeror to meet the Required Service Level for the same CM or KM three (3) times, and each subsequent failure thereafter, during a Service Level Reporting Period</w:t>
            </w:r>
          </w:p>
        </w:tc>
      </w:tr>
      <w:tr w:rsidR="00C875E8" w:rsidRPr="00C875E8" w:rsidTr="007B4DF9">
        <w:trPr>
          <w:cantSplit/>
        </w:trPr>
        <w:tc>
          <w:tcPr>
            <w:tcW w:w="1477" w:type="pct"/>
          </w:tcPr>
          <w:p w:rsidR="00C875E8" w:rsidRPr="00C875E8" w:rsidRDefault="00C875E8" w:rsidP="003D54AE">
            <w:pPr>
              <w:autoSpaceDE w:val="0"/>
              <w:autoSpaceDN w:val="0"/>
              <w:adjustRightInd w:val="0"/>
              <w:rPr>
                <w:bCs/>
                <w:sz w:val="24"/>
              </w:rPr>
            </w:pPr>
            <w:r w:rsidRPr="00C875E8">
              <w:rPr>
                <w:sz w:val="24"/>
              </w:rPr>
              <w:t>Reserve Account</w:t>
            </w:r>
          </w:p>
        </w:tc>
        <w:tc>
          <w:tcPr>
            <w:tcW w:w="3523" w:type="pct"/>
          </w:tcPr>
          <w:p w:rsidR="00C875E8" w:rsidRPr="00C875E8" w:rsidRDefault="00C875E8" w:rsidP="003D54AE">
            <w:pPr>
              <w:rPr>
                <w:sz w:val="24"/>
              </w:rPr>
            </w:pPr>
            <w:r w:rsidRPr="00C875E8">
              <w:rPr>
                <w:sz w:val="24"/>
              </w:rPr>
              <w:t>A capital improvement fund into which Offeror shall deposit quarterly as specified in Section 13 of Appendix A (Terms and Conditions).</w:t>
            </w:r>
          </w:p>
        </w:tc>
      </w:tr>
      <w:tr w:rsidR="00C875E8" w:rsidRPr="00C875E8" w:rsidTr="007B4DF9">
        <w:trPr>
          <w:cantSplit/>
        </w:trPr>
        <w:tc>
          <w:tcPr>
            <w:tcW w:w="1477" w:type="pct"/>
          </w:tcPr>
          <w:p w:rsidR="00C875E8" w:rsidRPr="00C875E8" w:rsidRDefault="00C875E8" w:rsidP="003D54AE">
            <w:pPr>
              <w:autoSpaceDE w:val="0"/>
              <w:autoSpaceDN w:val="0"/>
              <w:adjustRightInd w:val="0"/>
              <w:rPr>
                <w:sz w:val="24"/>
              </w:rPr>
            </w:pPr>
            <w:r w:rsidRPr="00C875E8">
              <w:rPr>
                <w:bCs/>
                <w:sz w:val="24"/>
              </w:rPr>
              <w:t>RFP</w:t>
            </w:r>
          </w:p>
        </w:tc>
        <w:tc>
          <w:tcPr>
            <w:tcW w:w="3523" w:type="pct"/>
          </w:tcPr>
          <w:p w:rsidR="00C875E8" w:rsidRPr="00C875E8" w:rsidRDefault="00C875E8" w:rsidP="003D54AE">
            <w:pPr>
              <w:rPr>
                <w:bCs/>
                <w:sz w:val="24"/>
              </w:rPr>
            </w:pPr>
            <w:r w:rsidRPr="00C875E8">
              <w:rPr>
                <w:sz w:val="24"/>
              </w:rPr>
              <w:t xml:space="preserve">The Request for Proposal (RFP 6100022698) issued by the Commonwealth for </w:t>
            </w:r>
            <w:r w:rsidRPr="00C875E8">
              <w:rPr>
                <w:bCs/>
                <w:sz w:val="24"/>
              </w:rPr>
              <w:t>Data Center Computing Services</w:t>
            </w:r>
            <w:r w:rsidRPr="00C875E8">
              <w:rPr>
                <w:sz w:val="24"/>
              </w:rPr>
              <w:t>.</w:t>
            </w:r>
          </w:p>
        </w:tc>
      </w:tr>
      <w:tr w:rsidR="00AB5B83" w:rsidRPr="00C875E8" w:rsidTr="007B4DF9">
        <w:trPr>
          <w:cantSplit/>
        </w:trPr>
        <w:tc>
          <w:tcPr>
            <w:tcW w:w="1477" w:type="pct"/>
          </w:tcPr>
          <w:p w:rsidR="00AB5B83" w:rsidRPr="00C875E8" w:rsidRDefault="00AB5B83" w:rsidP="003D54AE">
            <w:pPr>
              <w:autoSpaceDE w:val="0"/>
              <w:autoSpaceDN w:val="0"/>
              <w:adjustRightInd w:val="0"/>
              <w:rPr>
                <w:sz w:val="24"/>
              </w:rPr>
            </w:pPr>
            <w:r>
              <w:rPr>
                <w:sz w:val="24"/>
              </w:rPr>
              <w:lastRenderedPageBreak/>
              <w:t>Run Book</w:t>
            </w:r>
          </w:p>
        </w:tc>
        <w:tc>
          <w:tcPr>
            <w:tcW w:w="3523" w:type="pct"/>
          </w:tcPr>
          <w:p w:rsidR="00AB5B83" w:rsidRPr="00AB5B83" w:rsidRDefault="00AB5B83" w:rsidP="00E727D3">
            <w:pPr>
              <w:pStyle w:val="HeadingTable"/>
              <w:jc w:val="both"/>
              <w:rPr>
                <w:rFonts w:ascii="Times New Roman" w:hAnsi="Times New Roman"/>
                <w:b w:val="0"/>
                <w:sz w:val="24"/>
              </w:rPr>
            </w:pPr>
            <w:r w:rsidRPr="00AB5B83">
              <w:rPr>
                <w:rFonts w:ascii="Times New Roman" w:hAnsi="Times New Roman"/>
                <w:b w:val="0"/>
                <w:sz w:val="24"/>
              </w:rPr>
              <w:t>A book contain</w:t>
            </w:r>
            <w:r w:rsidR="004846EE">
              <w:rPr>
                <w:rFonts w:ascii="Times New Roman" w:hAnsi="Times New Roman"/>
                <w:b w:val="0"/>
                <w:sz w:val="24"/>
              </w:rPr>
              <w:t>ing</w:t>
            </w:r>
            <w:r w:rsidRPr="00AB5B83">
              <w:rPr>
                <w:rFonts w:ascii="Times New Roman" w:hAnsi="Times New Roman"/>
                <w:b w:val="0"/>
                <w:sz w:val="24"/>
              </w:rPr>
              <w:t xml:space="preserve"> all of the information need</w:t>
            </w:r>
            <w:r>
              <w:rPr>
                <w:rFonts w:ascii="Times New Roman" w:hAnsi="Times New Roman"/>
                <w:b w:val="0"/>
                <w:sz w:val="24"/>
              </w:rPr>
              <w:t>ed</w:t>
            </w:r>
            <w:r w:rsidRPr="00AB5B83">
              <w:rPr>
                <w:rFonts w:ascii="Times New Roman" w:hAnsi="Times New Roman"/>
                <w:b w:val="0"/>
                <w:sz w:val="24"/>
              </w:rPr>
              <w:t xml:space="preserve"> to perform day-to-day operations and to respond to emergency situations. This information </w:t>
            </w:r>
            <w:r w:rsidR="004846EE">
              <w:rPr>
                <w:rFonts w:ascii="Times New Roman" w:hAnsi="Times New Roman"/>
                <w:b w:val="0"/>
                <w:sz w:val="24"/>
              </w:rPr>
              <w:t>must</w:t>
            </w:r>
            <w:r w:rsidRPr="00AB5B83">
              <w:rPr>
                <w:rFonts w:ascii="Times New Roman" w:hAnsi="Times New Roman"/>
                <w:b w:val="0"/>
                <w:sz w:val="24"/>
              </w:rPr>
              <w:t xml:space="preserve"> include the following:</w:t>
            </w:r>
          </w:p>
          <w:p w:rsidR="00AB5B83" w:rsidRPr="00AB5B83" w:rsidRDefault="00AB5B83" w:rsidP="00E727D3">
            <w:pPr>
              <w:pStyle w:val="HeadingTable"/>
              <w:jc w:val="both"/>
              <w:rPr>
                <w:rFonts w:ascii="Times New Roman" w:hAnsi="Times New Roman"/>
                <w:b w:val="0"/>
                <w:sz w:val="24"/>
              </w:rPr>
            </w:pPr>
            <w:r w:rsidRPr="00AB5B83">
              <w:rPr>
                <w:rFonts w:ascii="Times New Roman" w:hAnsi="Times New Roman"/>
                <w:b w:val="0"/>
                <w:sz w:val="24"/>
              </w:rPr>
              <w:t>•Resource information about the data center and its hardware and software</w:t>
            </w:r>
          </w:p>
          <w:p w:rsidR="00AB5B83" w:rsidRPr="00C875E8" w:rsidRDefault="00AB5B83" w:rsidP="00AB5B83">
            <w:pPr>
              <w:pStyle w:val="HeadingTable"/>
              <w:jc w:val="both"/>
              <w:rPr>
                <w:rFonts w:ascii="Times New Roman" w:hAnsi="Times New Roman"/>
                <w:b w:val="0"/>
                <w:sz w:val="24"/>
              </w:rPr>
            </w:pPr>
            <w:r w:rsidRPr="00AB5B83">
              <w:rPr>
                <w:rFonts w:ascii="Times New Roman" w:hAnsi="Times New Roman"/>
                <w:b w:val="0"/>
                <w:sz w:val="24"/>
              </w:rPr>
              <w:t>•Process information, including step-by-step procedures for operational and emergency processes</w:t>
            </w:r>
          </w:p>
        </w:tc>
      </w:tr>
      <w:tr w:rsidR="00AB5B83" w:rsidRPr="00C875E8" w:rsidTr="007B4DF9">
        <w:trPr>
          <w:cantSplit/>
        </w:trPr>
        <w:tc>
          <w:tcPr>
            <w:tcW w:w="1477" w:type="pct"/>
          </w:tcPr>
          <w:p w:rsidR="00AB5B83" w:rsidRPr="00C875E8" w:rsidRDefault="00AB5B83" w:rsidP="003D54AE">
            <w:pPr>
              <w:autoSpaceDE w:val="0"/>
              <w:autoSpaceDN w:val="0"/>
              <w:adjustRightInd w:val="0"/>
              <w:rPr>
                <w:sz w:val="24"/>
              </w:rPr>
            </w:pPr>
            <w:r w:rsidRPr="00C875E8">
              <w:rPr>
                <w:sz w:val="24"/>
              </w:rPr>
              <w:t>SAP Vendor Number</w:t>
            </w:r>
          </w:p>
        </w:tc>
        <w:tc>
          <w:tcPr>
            <w:tcW w:w="3523" w:type="pct"/>
          </w:tcPr>
          <w:p w:rsidR="00AB5B83" w:rsidRPr="00C875E8" w:rsidRDefault="00AB5B83" w:rsidP="003D54AE">
            <w:pPr>
              <w:pStyle w:val="HeadingTable"/>
              <w:jc w:val="both"/>
              <w:rPr>
                <w:rFonts w:ascii="Times New Roman" w:hAnsi="Times New Roman"/>
                <w:b w:val="0"/>
                <w:sz w:val="24"/>
              </w:rPr>
            </w:pPr>
            <w:r w:rsidRPr="00C875E8">
              <w:rPr>
                <w:rFonts w:ascii="Times New Roman" w:hAnsi="Times New Roman"/>
                <w:b w:val="0"/>
                <w:sz w:val="24"/>
              </w:rPr>
              <w:t>A vendor identification number for the Commonwealth’s SAP ordering and payment processing systems.</w:t>
            </w:r>
          </w:p>
        </w:tc>
      </w:tr>
      <w:tr w:rsidR="00AB5B83" w:rsidRPr="00C875E8" w:rsidTr="007B4DF9">
        <w:trPr>
          <w:cantSplit/>
        </w:trPr>
        <w:tc>
          <w:tcPr>
            <w:tcW w:w="1477" w:type="pct"/>
          </w:tcPr>
          <w:p w:rsidR="00AB5B83" w:rsidRPr="00C875E8" w:rsidRDefault="00AB5B83" w:rsidP="003D54AE">
            <w:pPr>
              <w:autoSpaceDE w:val="0"/>
              <w:autoSpaceDN w:val="0"/>
              <w:adjustRightInd w:val="0"/>
              <w:rPr>
                <w:bCs/>
                <w:sz w:val="24"/>
              </w:rPr>
            </w:pPr>
            <w:r w:rsidRPr="00C875E8">
              <w:rPr>
                <w:sz w:val="24"/>
              </w:rPr>
              <w:t>Service Catalog</w:t>
            </w:r>
          </w:p>
        </w:tc>
        <w:tc>
          <w:tcPr>
            <w:tcW w:w="3523" w:type="pct"/>
          </w:tcPr>
          <w:p w:rsidR="00AB5B83" w:rsidRPr="00C875E8" w:rsidRDefault="00AB5B83" w:rsidP="003D54AE">
            <w:pPr>
              <w:pStyle w:val="HeadingTable"/>
              <w:jc w:val="both"/>
              <w:rPr>
                <w:rFonts w:ascii="Times New Roman" w:hAnsi="Times New Roman"/>
                <w:b w:val="0"/>
                <w:sz w:val="24"/>
              </w:rPr>
            </w:pPr>
            <w:r w:rsidRPr="00C875E8">
              <w:rPr>
                <w:rFonts w:ascii="Times New Roman" w:hAnsi="Times New Roman"/>
                <w:b w:val="0"/>
                <w:sz w:val="24"/>
              </w:rPr>
              <w:t>A listing of Services with pricing and descriptions that are available to the Commonwealth for delivery by the Offeror.</w:t>
            </w:r>
          </w:p>
        </w:tc>
      </w:tr>
      <w:tr w:rsidR="00AB5B83" w:rsidRPr="00C875E8" w:rsidTr="007B4DF9">
        <w:trPr>
          <w:cantSplit/>
        </w:trPr>
        <w:tc>
          <w:tcPr>
            <w:tcW w:w="1477" w:type="pct"/>
          </w:tcPr>
          <w:p w:rsidR="00AB5B83" w:rsidRPr="00C875E8" w:rsidRDefault="00AB5B83" w:rsidP="003D54AE">
            <w:pPr>
              <w:autoSpaceDE w:val="0"/>
              <w:autoSpaceDN w:val="0"/>
              <w:adjustRightInd w:val="0"/>
              <w:rPr>
                <w:bCs/>
                <w:sz w:val="24"/>
              </w:rPr>
            </w:pPr>
            <w:r w:rsidRPr="00C875E8">
              <w:rPr>
                <w:sz w:val="24"/>
              </w:rPr>
              <w:t>Service Desk</w:t>
            </w:r>
          </w:p>
        </w:tc>
        <w:tc>
          <w:tcPr>
            <w:tcW w:w="3523" w:type="pct"/>
          </w:tcPr>
          <w:p w:rsidR="00AB5B83" w:rsidRPr="00C875E8" w:rsidRDefault="00AB5B83" w:rsidP="003D54AE">
            <w:pPr>
              <w:pStyle w:val="HeadingTable"/>
              <w:jc w:val="both"/>
              <w:rPr>
                <w:rFonts w:ascii="Times New Roman" w:hAnsi="Times New Roman"/>
                <w:b w:val="0"/>
                <w:sz w:val="24"/>
              </w:rPr>
            </w:pPr>
            <w:r w:rsidRPr="00C875E8">
              <w:rPr>
                <w:rFonts w:ascii="Times New Roman" w:hAnsi="Times New Roman"/>
                <w:b w:val="0"/>
                <w:sz w:val="24"/>
              </w:rPr>
              <w:t>The organization that interfaces with end-users on service requests and trouble reporting.</w:t>
            </w:r>
          </w:p>
        </w:tc>
      </w:tr>
      <w:tr w:rsidR="00AB5B83" w:rsidRPr="00C875E8" w:rsidTr="007B4DF9">
        <w:trPr>
          <w:cantSplit/>
        </w:trPr>
        <w:tc>
          <w:tcPr>
            <w:tcW w:w="1477" w:type="pct"/>
            <w:shd w:val="clear" w:color="auto" w:fill="FFFFFF"/>
          </w:tcPr>
          <w:p w:rsidR="00AB5B83" w:rsidRPr="00C875E8" w:rsidRDefault="00AB5B83" w:rsidP="003D54AE">
            <w:pPr>
              <w:autoSpaceDE w:val="0"/>
              <w:autoSpaceDN w:val="0"/>
              <w:adjustRightInd w:val="0"/>
              <w:rPr>
                <w:sz w:val="24"/>
              </w:rPr>
            </w:pPr>
            <w:r w:rsidRPr="00C875E8">
              <w:rPr>
                <w:bCs/>
                <w:sz w:val="24"/>
              </w:rPr>
              <w:t>Service Level</w:t>
            </w:r>
          </w:p>
        </w:tc>
        <w:tc>
          <w:tcPr>
            <w:tcW w:w="3523" w:type="pct"/>
            <w:shd w:val="clear" w:color="auto" w:fill="FFFFFF"/>
          </w:tcPr>
          <w:p w:rsidR="00AB5B83" w:rsidRPr="00C875E8" w:rsidRDefault="00AB5B83" w:rsidP="003D54AE">
            <w:pPr>
              <w:pStyle w:val="HeadingTable"/>
              <w:jc w:val="both"/>
              <w:rPr>
                <w:rFonts w:ascii="Times New Roman" w:hAnsi="Times New Roman"/>
                <w:b w:val="0"/>
                <w:color w:val="000000"/>
                <w:sz w:val="24"/>
              </w:rPr>
            </w:pPr>
            <w:r w:rsidRPr="00C875E8">
              <w:rPr>
                <w:rFonts w:ascii="Times New Roman" w:hAnsi="Times New Roman"/>
                <w:b w:val="0"/>
                <w:sz w:val="24"/>
              </w:rPr>
              <w:t>The quality and response standards set for the Offeror’s performance of the Services delivered and are defined in Schedules Schedule J.1 - Datacenter Service Level Management, Schedule J.2 - Datacenter Service Level Matrix, and Schedule J.3 - Datacenter SLA Definitions.</w:t>
            </w:r>
          </w:p>
        </w:tc>
      </w:tr>
      <w:tr w:rsidR="00AB5B83" w:rsidRPr="00C875E8" w:rsidTr="007B4DF9">
        <w:trPr>
          <w:cantSplit/>
        </w:trPr>
        <w:tc>
          <w:tcPr>
            <w:tcW w:w="1477" w:type="pct"/>
          </w:tcPr>
          <w:p w:rsidR="00AB5B83" w:rsidRPr="00C875E8" w:rsidRDefault="00AB5B83" w:rsidP="003D54AE">
            <w:pPr>
              <w:autoSpaceDE w:val="0"/>
              <w:autoSpaceDN w:val="0"/>
              <w:adjustRightInd w:val="0"/>
              <w:rPr>
                <w:bCs/>
                <w:sz w:val="24"/>
              </w:rPr>
            </w:pPr>
            <w:r w:rsidRPr="00C875E8">
              <w:rPr>
                <w:sz w:val="24"/>
              </w:rPr>
              <w:t>Service Level Agreements</w:t>
            </w:r>
            <w:r w:rsidRPr="00C875E8">
              <w:rPr>
                <w:sz w:val="24"/>
              </w:rPr>
              <w:br/>
              <w:t>(SLA’s)</w:t>
            </w:r>
          </w:p>
        </w:tc>
        <w:tc>
          <w:tcPr>
            <w:tcW w:w="3523" w:type="pct"/>
          </w:tcPr>
          <w:p w:rsidR="00AB5B83" w:rsidRPr="00C875E8" w:rsidRDefault="00AB5B83" w:rsidP="003D54AE">
            <w:pPr>
              <w:pStyle w:val="HeadingTable"/>
              <w:jc w:val="both"/>
              <w:rPr>
                <w:rFonts w:ascii="Times New Roman" w:hAnsi="Times New Roman"/>
                <w:b w:val="0"/>
                <w:sz w:val="24"/>
              </w:rPr>
            </w:pPr>
            <w:r w:rsidRPr="00C875E8">
              <w:rPr>
                <w:rFonts w:ascii="Times New Roman" w:hAnsi="Times New Roman"/>
                <w:b w:val="0"/>
                <w:sz w:val="24"/>
              </w:rPr>
              <w:t>A collection of Service Level commitments provided by the Offeror with associated cures.</w:t>
            </w:r>
          </w:p>
        </w:tc>
      </w:tr>
      <w:tr w:rsidR="00AB5B83" w:rsidRPr="00C875E8" w:rsidTr="007B4DF9">
        <w:trPr>
          <w:cantSplit/>
        </w:trPr>
        <w:tc>
          <w:tcPr>
            <w:tcW w:w="1477" w:type="pct"/>
            <w:shd w:val="clear" w:color="auto" w:fill="FFFFFF"/>
          </w:tcPr>
          <w:p w:rsidR="00AB5B83" w:rsidRPr="00C875E8" w:rsidRDefault="00AB5B83" w:rsidP="003D54AE">
            <w:pPr>
              <w:autoSpaceDE w:val="0"/>
              <w:autoSpaceDN w:val="0"/>
              <w:adjustRightInd w:val="0"/>
              <w:rPr>
                <w:sz w:val="24"/>
              </w:rPr>
            </w:pPr>
            <w:r w:rsidRPr="00C875E8">
              <w:rPr>
                <w:sz w:val="24"/>
              </w:rPr>
              <w:t>Service Level Credit</w:t>
            </w:r>
          </w:p>
        </w:tc>
        <w:tc>
          <w:tcPr>
            <w:tcW w:w="3523" w:type="pct"/>
            <w:shd w:val="clear" w:color="auto" w:fill="FFFFFF"/>
          </w:tcPr>
          <w:p w:rsidR="00AB5B83" w:rsidRPr="00C875E8" w:rsidRDefault="00AB5B83" w:rsidP="003D54AE">
            <w:pPr>
              <w:pStyle w:val="HeadingTable"/>
              <w:jc w:val="both"/>
              <w:rPr>
                <w:rFonts w:ascii="Times New Roman" w:hAnsi="Times New Roman"/>
                <w:b w:val="0"/>
                <w:color w:val="000000"/>
                <w:sz w:val="24"/>
              </w:rPr>
            </w:pPr>
            <w:r w:rsidRPr="00C875E8">
              <w:rPr>
                <w:rFonts w:ascii="Times New Roman" w:hAnsi="Times New Roman"/>
                <w:b w:val="0"/>
                <w:sz w:val="24"/>
              </w:rPr>
              <w:t>The credits due the Commonwealth in the even the Offeror fails to meet the SLA objectives defined in Schedules Schedule J.1 - Datacenter Service Level Management, Schedule J.2 - Datacenter Service Level Matrix, and Schedule J.3 - Datacenter SLA Definitions.</w:t>
            </w:r>
          </w:p>
        </w:tc>
      </w:tr>
      <w:tr w:rsidR="00AB5B83" w:rsidRPr="00C875E8" w:rsidTr="007B4DF9">
        <w:trPr>
          <w:cantSplit/>
        </w:trPr>
        <w:tc>
          <w:tcPr>
            <w:tcW w:w="1477" w:type="pct"/>
          </w:tcPr>
          <w:p w:rsidR="00AB5B83" w:rsidRPr="00C875E8" w:rsidRDefault="00AB5B83" w:rsidP="003D54AE">
            <w:pPr>
              <w:autoSpaceDE w:val="0"/>
              <w:autoSpaceDN w:val="0"/>
              <w:adjustRightInd w:val="0"/>
              <w:rPr>
                <w:sz w:val="24"/>
              </w:rPr>
            </w:pPr>
            <w:r w:rsidRPr="00C875E8">
              <w:rPr>
                <w:bCs/>
                <w:sz w:val="24"/>
              </w:rPr>
              <w:t>Service Level Default</w:t>
            </w:r>
          </w:p>
        </w:tc>
        <w:tc>
          <w:tcPr>
            <w:tcW w:w="3523" w:type="pct"/>
          </w:tcPr>
          <w:p w:rsidR="00AB5B83" w:rsidRPr="00C875E8" w:rsidRDefault="00AB5B83" w:rsidP="003D54AE">
            <w:pPr>
              <w:pStyle w:val="HeadingTable"/>
              <w:jc w:val="both"/>
              <w:rPr>
                <w:rFonts w:ascii="Times New Roman" w:hAnsi="Times New Roman"/>
                <w:b w:val="0"/>
                <w:sz w:val="24"/>
              </w:rPr>
            </w:pPr>
            <w:r w:rsidRPr="00C875E8">
              <w:rPr>
                <w:rFonts w:ascii="Times New Roman" w:hAnsi="Times New Roman"/>
                <w:b w:val="0"/>
                <w:sz w:val="24"/>
              </w:rPr>
              <w:t>A single failure of the Offeror to meet the applicable Minimum Service Level for a specific CM or KM in the applicable Measurement Window (</w:t>
            </w:r>
            <w:r w:rsidRPr="00C875E8">
              <w:rPr>
                <w:rFonts w:ascii="Times New Roman" w:hAnsi="Times New Roman"/>
                <w:b w:val="0"/>
                <w:i/>
                <w:iCs/>
                <w:sz w:val="24"/>
              </w:rPr>
              <w:t>e.g.</w:t>
            </w:r>
            <w:r w:rsidRPr="00C875E8">
              <w:rPr>
                <w:rFonts w:ascii="Times New Roman" w:hAnsi="Times New Roman"/>
                <w:b w:val="0"/>
                <w:sz w:val="24"/>
              </w:rPr>
              <w:t>, monthly).</w:t>
            </w:r>
          </w:p>
        </w:tc>
      </w:tr>
      <w:tr w:rsidR="00AB5B83" w:rsidRPr="00C875E8" w:rsidTr="007B4DF9">
        <w:trPr>
          <w:cantSplit/>
        </w:trPr>
        <w:tc>
          <w:tcPr>
            <w:tcW w:w="1477" w:type="pct"/>
            <w:shd w:val="clear" w:color="auto" w:fill="FFFFFF"/>
          </w:tcPr>
          <w:p w:rsidR="00AB5B83" w:rsidRPr="00C875E8" w:rsidRDefault="00AB5B83" w:rsidP="003D54AE">
            <w:pPr>
              <w:autoSpaceDE w:val="0"/>
              <w:autoSpaceDN w:val="0"/>
              <w:adjustRightInd w:val="0"/>
              <w:rPr>
                <w:sz w:val="24"/>
              </w:rPr>
            </w:pPr>
            <w:r w:rsidRPr="00C875E8">
              <w:rPr>
                <w:sz w:val="24"/>
              </w:rPr>
              <w:t>Service Level Default</w:t>
            </w:r>
          </w:p>
        </w:tc>
        <w:tc>
          <w:tcPr>
            <w:tcW w:w="3523" w:type="pct"/>
            <w:shd w:val="clear" w:color="auto" w:fill="FFFFFF"/>
          </w:tcPr>
          <w:p w:rsidR="00AB5B83" w:rsidRPr="00C875E8" w:rsidRDefault="00AB5B83" w:rsidP="003D54AE">
            <w:pPr>
              <w:pStyle w:val="HeadingTable"/>
              <w:jc w:val="both"/>
              <w:rPr>
                <w:rFonts w:ascii="Times New Roman" w:hAnsi="Times New Roman"/>
                <w:b w:val="0"/>
                <w:color w:val="000000"/>
                <w:sz w:val="24"/>
              </w:rPr>
            </w:pPr>
            <w:r w:rsidRPr="00C875E8">
              <w:rPr>
                <w:rFonts w:ascii="Times New Roman" w:hAnsi="Times New Roman"/>
                <w:b w:val="0"/>
                <w:sz w:val="24"/>
              </w:rPr>
              <w:t>Failure to meet the Required Service Level.</w:t>
            </w:r>
          </w:p>
        </w:tc>
      </w:tr>
      <w:tr w:rsidR="00AB5B83" w:rsidRPr="00C875E8" w:rsidTr="007B4DF9">
        <w:trPr>
          <w:cantSplit/>
        </w:trPr>
        <w:tc>
          <w:tcPr>
            <w:tcW w:w="1477" w:type="pct"/>
            <w:shd w:val="clear" w:color="auto" w:fill="FFFFFF"/>
          </w:tcPr>
          <w:p w:rsidR="00AB5B83" w:rsidRPr="00C875E8" w:rsidRDefault="00AB5B83">
            <w:pPr>
              <w:pStyle w:val="HeadingTable"/>
              <w:jc w:val="both"/>
              <w:rPr>
                <w:sz w:val="24"/>
                <w:szCs w:val="22"/>
              </w:rPr>
            </w:pPr>
            <w:r w:rsidRPr="00C875E8">
              <w:rPr>
                <w:rFonts w:ascii="Times New Roman" w:hAnsi="Times New Roman"/>
                <w:b w:val="0"/>
                <w:sz w:val="24"/>
              </w:rPr>
              <w:t>Service Level Termination Event</w:t>
            </w:r>
          </w:p>
        </w:tc>
        <w:tc>
          <w:tcPr>
            <w:tcW w:w="3523" w:type="pct"/>
            <w:shd w:val="clear" w:color="auto" w:fill="FFFFFF"/>
          </w:tcPr>
          <w:p w:rsidR="00AB5B83" w:rsidRPr="00C875E8" w:rsidRDefault="00AB5B83">
            <w:pPr>
              <w:pStyle w:val="HeadingTable"/>
              <w:jc w:val="both"/>
              <w:rPr>
                <w:rFonts w:ascii="Times New Roman" w:hAnsi="Times New Roman"/>
                <w:b w:val="0"/>
                <w:sz w:val="24"/>
                <w:szCs w:val="22"/>
              </w:rPr>
            </w:pPr>
            <w:r w:rsidRPr="00C875E8">
              <w:rPr>
                <w:rFonts w:ascii="Times New Roman" w:hAnsi="Times New Roman"/>
                <w:b w:val="0"/>
                <w:sz w:val="24"/>
              </w:rPr>
              <w:t>Multiple failures over time of a single Service Level or a pattern of failure over time across multiple Service Levels.</w:t>
            </w:r>
          </w:p>
          <w:p w:rsidR="00AB5B83" w:rsidRPr="00C875E8" w:rsidRDefault="00AB5B83" w:rsidP="000B4AC5">
            <w:pPr>
              <w:pStyle w:val="HeadingTable"/>
              <w:keepNext/>
              <w:keepLines/>
              <w:jc w:val="both"/>
              <w:outlineLvl w:val="1"/>
              <w:rPr>
                <w:rFonts w:ascii="Times New Roman" w:hAnsi="Times New Roman"/>
                <w:b w:val="0"/>
                <w:sz w:val="24"/>
                <w:szCs w:val="22"/>
              </w:rPr>
            </w:pPr>
          </w:p>
        </w:tc>
      </w:tr>
      <w:tr w:rsidR="00AB5B83" w:rsidRPr="00C875E8" w:rsidTr="007B4DF9">
        <w:trPr>
          <w:cantSplit/>
        </w:trPr>
        <w:tc>
          <w:tcPr>
            <w:tcW w:w="1477" w:type="pct"/>
          </w:tcPr>
          <w:p w:rsidR="00AB5B83" w:rsidRPr="00C875E8" w:rsidRDefault="00AB5B83" w:rsidP="003D54AE">
            <w:pPr>
              <w:autoSpaceDE w:val="0"/>
              <w:autoSpaceDN w:val="0"/>
              <w:adjustRightInd w:val="0"/>
              <w:rPr>
                <w:bCs/>
                <w:sz w:val="24"/>
              </w:rPr>
            </w:pPr>
            <w:r w:rsidRPr="00C875E8">
              <w:rPr>
                <w:bCs/>
                <w:sz w:val="24"/>
              </w:rPr>
              <w:lastRenderedPageBreak/>
              <w:t>Service Outage</w:t>
            </w:r>
          </w:p>
        </w:tc>
        <w:tc>
          <w:tcPr>
            <w:tcW w:w="3523" w:type="pct"/>
          </w:tcPr>
          <w:p w:rsidR="00AB5B83" w:rsidRPr="00C875E8" w:rsidRDefault="00AB5B83" w:rsidP="003D54AE">
            <w:pPr>
              <w:pStyle w:val="HeadingTable"/>
              <w:jc w:val="both"/>
              <w:rPr>
                <w:rFonts w:ascii="Times New Roman" w:hAnsi="Times New Roman"/>
                <w:b w:val="0"/>
                <w:sz w:val="24"/>
              </w:rPr>
            </w:pPr>
            <w:r w:rsidRPr="00C875E8">
              <w:rPr>
                <w:rFonts w:ascii="Times New Roman" w:hAnsi="Times New Roman"/>
                <w:b w:val="0"/>
                <w:sz w:val="24"/>
              </w:rPr>
              <w:t>Any event that unexpectedly denies a service’s full functionality to the end-users.</w:t>
            </w:r>
          </w:p>
        </w:tc>
      </w:tr>
      <w:tr w:rsidR="00AB5B83" w:rsidRPr="00C875E8" w:rsidTr="007B4DF9">
        <w:trPr>
          <w:cantSplit/>
        </w:trPr>
        <w:tc>
          <w:tcPr>
            <w:tcW w:w="1477" w:type="pct"/>
          </w:tcPr>
          <w:p w:rsidR="00AB5B83" w:rsidRPr="00C875E8" w:rsidRDefault="00AB5B83" w:rsidP="003D54AE">
            <w:pPr>
              <w:autoSpaceDE w:val="0"/>
              <w:autoSpaceDN w:val="0"/>
              <w:adjustRightInd w:val="0"/>
              <w:rPr>
                <w:sz w:val="24"/>
              </w:rPr>
            </w:pPr>
            <w:r w:rsidRPr="00C875E8">
              <w:rPr>
                <w:bCs/>
                <w:sz w:val="24"/>
              </w:rPr>
              <w:t>Service(s)</w:t>
            </w:r>
          </w:p>
        </w:tc>
        <w:tc>
          <w:tcPr>
            <w:tcW w:w="3523" w:type="pct"/>
          </w:tcPr>
          <w:p w:rsidR="00AB5B83" w:rsidRPr="00C875E8" w:rsidRDefault="00AB5B83" w:rsidP="00A054F3">
            <w:pPr>
              <w:pStyle w:val="HeadingTable"/>
              <w:jc w:val="both"/>
              <w:rPr>
                <w:rFonts w:ascii="Times New Roman" w:hAnsi="Times New Roman"/>
                <w:b w:val="0"/>
                <w:color w:val="000000"/>
                <w:sz w:val="24"/>
              </w:rPr>
            </w:pPr>
            <w:r w:rsidRPr="00C875E8">
              <w:rPr>
                <w:rFonts w:ascii="Times New Roman" w:hAnsi="Times New Roman"/>
                <w:b w:val="0"/>
                <w:color w:val="000000"/>
                <w:sz w:val="24"/>
              </w:rPr>
              <w:t>The services, function and responsibilities described in the Contract, including the Services set forth in (Services Catalog) and Schedule F (Statement of Work).</w:t>
            </w:r>
          </w:p>
          <w:p w:rsidR="00AB5B83" w:rsidRPr="00C875E8" w:rsidRDefault="00AB5B83" w:rsidP="003D54AE">
            <w:pPr>
              <w:pStyle w:val="HeadingTable"/>
              <w:jc w:val="both"/>
              <w:rPr>
                <w:rFonts w:ascii="Times New Roman" w:hAnsi="Times New Roman"/>
                <w:b w:val="0"/>
                <w:color w:val="000000"/>
                <w:sz w:val="24"/>
              </w:rPr>
            </w:pPr>
          </w:p>
        </w:tc>
      </w:tr>
      <w:tr w:rsidR="00AB5B83" w:rsidRPr="00C875E8" w:rsidTr="007B4DF9">
        <w:trPr>
          <w:cantSplit/>
        </w:trPr>
        <w:tc>
          <w:tcPr>
            <w:tcW w:w="1477" w:type="pct"/>
          </w:tcPr>
          <w:p w:rsidR="00AB5B83" w:rsidRPr="00C875E8" w:rsidRDefault="00AB5B83" w:rsidP="003D54AE">
            <w:pPr>
              <w:autoSpaceDE w:val="0"/>
              <w:autoSpaceDN w:val="0"/>
              <w:adjustRightInd w:val="0"/>
              <w:rPr>
                <w:i/>
                <w:iCs/>
                <w:sz w:val="24"/>
              </w:rPr>
            </w:pPr>
            <w:r w:rsidRPr="00C875E8">
              <w:rPr>
                <w:bCs/>
                <w:sz w:val="24"/>
              </w:rPr>
              <w:t>Services Locations</w:t>
            </w:r>
          </w:p>
        </w:tc>
        <w:tc>
          <w:tcPr>
            <w:tcW w:w="3523" w:type="pct"/>
          </w:tcPr>
          <w:p w:rsidR="00AB5B83" w:rsidRPr="00C875E8" w:rsidRDefault="00AB5B83" w:rsidP="004A59A6">
            <w:pPr>
              <w:pStyle w:val="HeadingTable"/>
              <w:jc w:val="both"/>
              <w:rPr>
                <w:rFonts w:ascii="Times New Roman" w:hAnsi="Times New Roman"/>
                <w:b w:val="0"/>
                <w:sz w:val="24"/>
              </w:rPr>
            </w:pPr>
            <w:r w:rsidRPr="00C875E8">
              <w:rPr>
                <w:rFonts w:ascii="Times New Roman" w:hAnsi="Times New Roman"/>
                <w:b w:val="0"/>
                <w:sz w:val="24"/>
              </w:rPr>
              <w:t>The Commonwealth Services Locations and the Offeror Services Locations as agreed upon by the parties as listed in Schedule E (Datacenter Locations)</w:t>
            </w:r>
            <w:r w:rsidRPr="00C875E8">
              <w:rPr>
                <w:rFonts w:ascii="Times New Roman" w:hAnsi="Times New Roman"/>
                <w:b w:val="0"/>
                <w:i/>
                <w:iCs/>
                <w:sz w:val="24"/>
              </w:rPr>
              <w:t>.</w:t>
            </w:r>
          </w:p>
        </w:tc>
      </w:tr>
      <w:tr w:rsidR="00AB5B83" w:rsidRPr="00C875E8" w:rsidTr="007B4DF9">
        <w:trPr>
          <w:cantSplit/>
        </w:trPr>
        <w:tc>
          <w:tcPr>
            <w:tcW w:w="1477" w:type="pct"/>
            <w:shd w:val="clear" w:color="auto" w:fill="FFFFFF"/>
          </w:tcPr>
          <w:p w:rsidR="00AB5B83" w:rsidRPr="00C875E8" w:rsidRDefault="00AB5B83" w:rsidP="003D54AE">
            <w:pPr>
              <w:autoSpaceDE w:val="0"/>
              <w:autoSpaceDN w:val="0"/>
              <w:adjustRightInd w:val="0"/>
              <w:rPr>
                <w:spacing w:val="-3"/>
                <w:sz w:val="24"/>
              </w:rPr>
            </w:pPr>
            <w:r w:rsidRPr="00C875E8">
              <w:rPr>
                <w:sz w:val="24"/>
              </w:rPr>
              <w:t>Small Diverse Business</w:t>
            </w:r>
            <w:r w:rsidRPr="00C875E8">
              <w:rPr>
                <w:sz w:val="24"/>
              </w:rPr>
              <w:br/>
              <w:t>(SDB)</w:t>
            </w:r>
          </w:p>
        </w:tc>
        <w:tc>
          <w:tcPr>
            <w:tcW w:w="3523" w:type="pct"/>
            <w:shd w:val="clear" w:color="auto" w:fill="FFFFFF"/>
          </w:tcPr>
          <w:p w:rsidR="00AB5B83" w:rsidRPr="00C875E8" w:rsidRDefault="00AB5B83" w:rsidP="004A59A6">
            <w:pPr>
              <w:pStyle w:val="HeadingTable"/>
              <w:jc w:val="both"/>
              <w:rPr>
                <w:rFonts w:ascii="Times New Roman" w:hAnsi="Times New Roman"/>
                <w:b w:val="0"/>
                <w:sz w:val="24"/>
              </w:rPr>
            </w:pPr>
            <w:r w:rsidRPr="00C875E8">
              <w:rPr>
                <w:rFonts w:ascii="Times New Roman" w:hAnsi="Times New Roman"/>
                <w:b w:val="0"/>
                <w:sz w:val="24"/>
              </w:rPr>
              <w:t>A minority, woman, veteran or service-disabled veteran business enterprise as determined by BSBO.</w:t>
            </w:r>
          </w:p>
        </w:tc>
      </w:tr>
      <w:tr w:rsidR="00AB5B83" w:rsidRPr="00C875E8" w:rsidTr="007B4DF9">
        <w:trPr>
          <w:cantSplit/>
        </w:trPr>
        <w:tc>
          <w:tcPr>
            <w:tcW w:w="1477" w:type="pct"/>
          </w:tcPr>
          <w:p w:rsidR="00AB5B83" w:rsidRPr="00C875E8" w:rsidRDefault="00AB5B83" w:rsidP="003D54AE">
            <w:pPr>
              <w:autoSpaceDE w:val="0"/>
              <w:autoSpaceDN w:val="0"/>
              <w:adjustRightInd w:val="0"/>
              <w:rPr>
                <w:sz w:val="24"/>
              </w:rPr>
            </w:pPr>
            <w:r w:rsidRPr="00C875E8">
              <w:rPr>
                <w:bCs/>
                <w:sz w:val="24"/>
              </w:rPr>
              <w:t>Software</w:t>
            </w:r>
          </w:p>
        </w:tc>
        <w:tc>
          <w:tcPr>
            <w:tcW w:w="3523" w:type="pct"/>
          </w:tcPr>
          <w:p w:rsidR="00AB5B83" w:rsidRPr="00C875E8" w:rsidRDefault="00AB5B83" w:rsidP="003D54AE">
            <w:pPr>
              <w:pStyle w:val="HeadingTable"/>
              <w:jc w:val="both"/>
              <w:rPr>
                <w:rFonts w:ascii="Times New Roman" w:hAnsi="Times New Roman"/>
                <w:b w:val="0"/>
                <w:sz w:val="24"/>
              </w:rPr>
            </w:pPr>
            <w:r w:rsidRPr="00C875E8">
              <w:rPr>
                <w:rFonts w:ascii="Times New Roman" w:hAnsi="Times New Roman"/>
                <w:b w:val="0"/>
                <w:sz w:val="24"/>
              </w:rPr>
              <w:t>A collection of one or more programs, databases or microprograms fixed in any tangible medium of expression that comprises a sequence of instructions (source code) to carry out a process in, or convertible into, a form executable by an electronic computer (object code).</w:t>
            </w:r>
          </w:p>
        </w:tc>
      </w:tr>
      <w:tr w:rsidR="00AB5B83" w:rsidRPr="00C875E8" w:rsidTr="007B4DF9">
        <w:trPr>
          <w:cantSplit/>
        </w:trPr>
        <w:tc>
          <w:tcPr>
            <w:tcW w:w="1477" w:type="pct"/>
          </w:tcPr>
          <w:p w:rsidR="00AB5B83" w:rsidRPr="00C875E8" w:rsidRDefault="00AB5B83">
            <w:pPr>
              <w:pStyle w:val="HeadingTable"/>
              <w:jc w:val="both"/>
              <w:rPr>
                <w:sz w:val="24"/>
                <w:szCs w:val="22"/>
              </w:rPr>
            </w:pPr>
            <w:r w:rsidRPr="00C875E8">
              <w:rPr>
                <w:rFonts w:ascii="Times New Roman" w:hAnsi="Times New Roman"/>
                <w:b w:val="0"/>
                <w:sz w:val="24"/>
              </w:rPr>
              <w:t xml:space="preserve">SSAE 16 </w:t>
            </w:r>
          </w:p>
        </w:tc>
        <w:tc>
          <w:tcPr>
            <w:tcW w:w="3523" w:type="pct"/>
          </w:tcPr>
          <w:p w:rsidR="00AB5B83" w:rsidRPr="00C875E8" w:rsidRDefault="00AB5B83" w:rsidP="00FD19D1">
            <w:pPr>
              <w:pStyle w:val="HeadingTable"/>
              <w:jc w:val="both"/>
              <w:rPr>
                <w:rFonts w:ascii="Times New Roman" w:hAnsi="Times New Roman"/>
                <w:b w:val="0"/>
                <w:sz w:val="24"/>
              </w:rPr>
            </w:pPr>
            <w:r w:rsidRPr="00C875E8">
              <w:rPr>
                <w:rFonts w:ascii="Times New Roman" w:hAnsi="Times New Roman"/>
                <w:b w:val="0"/>
                <w:sz w:val="24"/>
              </w:rPr>
              <w:t>A service organization reporting standard for performing an examination of a service organization's controls and processes.  (Statement on Standards for Attestation Engagements (SSAE) No. 16)</w:t>
            </w:r>
          </w:p>
        </w:tc>
      </w:tr>
      <w:tr w:rsidR="00AB5B83" w:rsidRPr="00C875E8" w:rsidTr="007B4DF9">
        <w:trPr>
          <w:cantSplit/>
        </w:trPr>
        <w:tc>
          <w:tcPr>
            <w:tcW w:w="1477" w:type="pct"/>
          </w:tcPr>
          <w:p w:rsidR="00AB5B83" w:rsidRPr="00C875E8" w:rsidRDefault="00AB5B83" w:rsidP="003D54AE">
            <w:pPr>
              <w:autoSpaceDE w:val="0"/>
              <w:autoSpaceDN w:val="0"/>
              <w:adjustRightInd w:val="0"/>
              <w:rPr>
                <w:bCs/>
                <w:sz w:val="24"/>
              </w:rPr>
            </w:pPr>
            <w:r w:rsidRPr="00C875E8">
              <w:rPr>
                <w:bCs/>
                <w:sz w:val="24"/>
              </w:rPr>
              <w:t>Standard Service Request</w:t>
            </w:r>
          </w:p>
        </w:tc>
        <w:tc>
          <w:tcPr>
            <w:tcW w:w="3523" w:type="pct"/>
          </w:tcPr>
          <w:p w:rsidR="00AB5B83" w:rsidRPr="00C875E8" w:rsidRDefault="00AB5B83" w:rsidP="003D54AE">
            <w:pPr>
              <w:pStyle w:val="HeadingTable"/>
              <w:jc w:val="both"/>
              <w:rPr>
                <w:rFonts w:ascii="Times New Roman" w:hAnsi="Times New Roman"/>
                <w:b w:val="0"/>
                <w:sz w:val="24"/>
              </w:rPr>
            </w:pPr>
            <w:r w:rsidRPr="00C875E8">
              <w:rPr>
                <w:rFonts w:ascii="Times New Roman" w:hAnsi="Times New Roman"/>
                <w:b w:val="0"/>
                <w:sz w:val="24"/>
              </w:rPr>
              <w:t>A service request that is routine in nature and not requiring extensive engineering or solutioning to develop the request.</w:t>
            </w:r>
          </w:p>
        </w:tc>
      </w:tr>
      <w:tr w:rsidR="00AB5B83" w:rsidRPr="00C875E8" w:rsidTr="007B4DF9">
        <w:trPr>
          <w:cantSplit/>
        </w:trPr>
        <w:tc>
          <w:tcPr>
            <w:tcW w:w="1477" w:type="pct"/>
          </w:tcPr>
          <w:p w:rsidR="00AB5B83" w:rsidRPr="00C875E8" w:rsidRDefault="00AB5B83" w:rsidP="003D54AE">
            <w:pPr>
              <w:autoSpaceDE w:val="0"/>
              <w:autoSpaceDN w:val="0"/>
              <w:adjustRightInd w:val="0"/>
              <w:rPr>
                <w:sz w:val="24"/>
              </w:rPr>
            </w:pPr>
            <w:r w:rsidRPr="00C875E8">
              <w:rPr>
                <w:bCs/>
                <w:sz w:val="24"/>
              </w:rPr>
              <w:t>Statement of Work</w:t>
            </w:r>
          </w:p>
        </w:tc>
        <w:tc>
          <w:tcPr>
            <w:tcW w:w="3523" w:type="pct"/>
          </w:tcPr>
          <w:p w:rsidR="00AB5B83" w:rsidRPr="00C875E8" w:rsidRDefault="00AB5B83" w:rsidP="00FA6ABA">
            <w:pPr>
              <w:pStyle w:val="HeadingTable"/>
              <w:jc w:val="both"/>
              <w:rPr>
                <w:rFonts w:ascii="Times New Roman" w:hAnsi="Times New Roman"/>
                <w:b w:val="0"/>
                <w:sz w:val="24"/>
              </w:rPr>
            </w:pPr>
            <w:r w:rsidRPr="00C875E8">
              <w:rPr>
                <w:rFonts w:ascii="Times New Roman" w:hAnsi="Times New Roman"/>
                <w:b w:val="0"/>
                <w:sz w:val="24"/>
              </w:rPr>
              <w:t>The Services, function and responsibilities described in the Agreement, including the services set forth in Schedule F (COPA Datacenter Statement of Work).</w:t>
            </w:r>
          </w:p>
        </w:tc>
      </w:tr>
      <w:tr w:rsidR="00AB5B83" w:rsidRPr="00C875E8" w:rsidTr="007B4DF9">
        <w:trPr>
          <w:cantSplit/>
        </w:trPr>
        <w:tc>
          <w:tcPr>
            <w:tcW w:w="1477" w:type="pct"/>
          </w:tcPr>
          <w:p w:rsidR="00AB5B83" w:rsidRPr="00C875E8" w:rsidRDefault="00AB5B83" w:rsidP="003D54AE">
            <w:pPr>
              <w:autoSpaceDE w:val="0"/>
              <w:autoSpaceDN w:val="0"/>
              <w:adjustRightInd w:val="0"/>
              <w:rPr>
                <w:sz w:val="24"/>
              </w:rPr>
            </w:pPr>
            <w:r w:rsidRPr="00C875E8">
              <w:rPr>
                <w:bCs/>
                <w:sz w:val="24"/>
              </w:rPr>
              <w:t>Subcont</w:t>
            </w:r>
            <w:r>
              <w:rPr>
                <w:bCs/>
                <w:sz w:val="24"/>
              </w:rPr>
              <w:t>r</w:t>
            </w:r>
            <w:r w:rsidRPr="00C875E8">
              <w:rPr>
                <w:bCs/>
                <w:sz w:val="24"/>
              </w:rPr>
              <w:t>actors</w:t>
            </w:r>
          </w:p>
        </w:tc>
        <w:tc>
          <w:tcPr>
            <w:tcW w:w="3523" w:type="pct"/>
          </w:tcPr>
          <w:p w:rsidR="00AB5B83" w:rsidRPr="00C875E8" w:rsidRDefault="00AB5B83" w:rsidP="003D54AE">
            <w:pPr>
              <w:pStyle w:val="HeadingTable"/>
              <w:jc w:val="both"/>
              <w:rPr>
                <w:rFonts w:ascii="Times New Roman" w:hAnsi="Times New Roman"/>
                <w:b w:val="0"/>
                <w:sz w:val="24"/>
              </w:rPr>
            </w:pPr>
            <w:r w:rsidRPr="00C875E8">
              <w:rPr>
                <w:rFonts w:ascii="Times New Roman" w:hAnsi="Times New Roman"/>
                <w:b w:val="0"/>
                <w:sz w:val="24"/>
              </w:rPr>
              <w:t>A third party (including an affiliate of Offeror) to which Offeror subcontracts or otherwise delegates its obligations to perform the Services.</w:t>
            </w:r>
          </w:p>
        </w:tc>
      </w:tr>
      <w:tr w:rsidR="00AB5B83" w:rsidRPr="00C875E8" w:rsidTr="007B4DF9">
        <w:trPr>
          <w:cantSplit/>
        </w:trPr>
        <w:tc>
          <w:tcPr>
            <w:tcW w:w="1477" w:type="pct"/>
          </w:tcPr>
          <w:p w:rsidR="00AB5B83" w:rsidRPr="00C875E8" w:rsidRDefault="00AB5B83" w:rsidP="003D54AE">
            <w:pPr>
              <w:autoSpaceDE w:val="0"/>
              <w:autoSpaceDN w:val="0"/>
              <w:adjustRightInd w:val="0"/>
              <w:rPr>
                <w:bCs/>
                <w:sz w:val="24"/>
              </w:rPr>
            </w:pPr>
            <w:r w:rsidRPr="00C875E8">
              <w:rPr>
                <w:sz w:val="24"/>
              </w:rPr>
              <w:t>Systems Development Life Cycle</w:t>
            </w:r>
            <w:r w:rsidRPr="00C875E8">
              <w:rPr>
                <w:sz w:val="24"/>
              </w:rPr>
              <w:br/>
              <w:t>(SDLC)</w:t>
            </w:r>
          </w:p>
        </w:tc>
        <w:tc>
          <w:tcPr>
            <w:tcW w:w="3523" w:type="pct"/>
          </w:tcPr>
          <w:p w:rsidR="00AB5B83" w:rsidRPr="00C875E8" w:rsidRDefault="00AB5B83" w:rsidP="003D54AE">
            <w:pPr>
              <w:pStyle w:val="HeadingTable"/>
              <w:jc w:val="both"/>
              <w:rPr>
                <w:rFonts w:ascii="Times New Roman" w:hAnsi="Times New Roman"/>
                <w:b w:val="0"/>
                <w:sz w:val="24"/>
              </w:rPr>
            </w:pPr>
            <w:r w:rsidRPr="00C875E8">
              <w:rPr>
                <w:rFonts w:ascii="Times New Roman" w:hAnsi="Times New Roman"/>
                <w:b w:val="0"/>
                <w:sz w:val="24"/>
              </w:rPr>
              <w:t>A methodology used to create or modify a software application or system.</w:t>
            </w:r>
          </w:p>
        </w:tc>
      </w:tr>
      <w:tr w:rsidR="00AB5B83" w:rsidRPr="00C875E8" w:rsidTr="007B4DF9">
        <w:trPr>
          <w:cantSplit/>
        </w:trPr>
        <w:tc>
          <w:tcPr>
            <w:tcW w:w="1477" w:type="pct"/>
          </w:tcPr>
          <w:p w:rsidR="00AB5B83" w:rsidRPr="00C875E8" w:rsidRDefault="00AB5B83" w:rsidP="003D54AE">
            <w:pPr>
              <w:rPr>
                <w:sz w:val="24"/>
              </w:rPr>
            </w:pPr>
            <w:r w:rsidRPr="00C875E8">
              <w:rPr>
                <w:sz w:val="24"/>
              </w:rPr>
              <w:lastRenderedPageBreak/>
              <w:t>Targeted Application Infrastructure</w:t>
            </w:r>
          </w:p>
        </w:tc>
        <w:tc>
          <w:tcPr>
            <w:tcW w:w="3523" w:type="pct"/>
          </w:tcPr>
          <w:p w:rsidR="00AB5B83" w:rsidRPr="00C875E8" w:rsidRDefault="00AB5B83" w:rsidP="003D54AE">
            <w:pPr>
              <w:pStyle w:val="HeadingTable"/>
              <w:jc w:val="both"/>
              <w:rPr>
                <w:rFonts w:ascii="Times New Roman" w:hAnsi="Times New Roman"/>
                <w:b w:val="0"/>
                <w:sz w:val="24"/>
              </w:rPr>
            </w:pPr>
            <w:r w:rsidRPr="00C875E8">
              <w:rPr>
                <w:rFonts w:ascii="Times New Roman" w:hAnsi="Times New Roman"/>
                <w:b w:val="0"/>
                <w:sz w:val="24"/>
              </w:rPr>
              <w:t>Used to describe a particular Offeror’s application’s infrastructure related components or configuration items (CIs)</w:t>
            </w:r>
          </w:p>
          <w:p w:rsidR="00AB5B83" w:rsidRPr="00C875E8" w:rsidRDefault="00AB5B83" w:rsidP="00610674">
            <w:pPr>
              <w:pStyle w:val="HeadingTable"/>
              <w:jc w:val="both"/>
              <w:rPr>
                <w:rFonts w:ascii="Times New Roman" w:hAnsi="Times New Roman"/>
                <w:b w:val="0"/>
                <w:sz w:val="24"/>
              </w:rPr>
            </w:pPr>
            <w:r w:rsidRPr="00C875E8">
              <w:rPr>
                <w:rFonts w:ascii="Times New Roman" w:hAnsi="Times New Roman"/>
                <w:b w:val="0"/>
                <w:sz w:val="24"/>
              </w:rPr>
              <w:t xml:space="preserve">When measuring actual application infrastructure related availability it is important to look at all the components that make up the application infrastructure such as all Servers, Storage, Networking, Firewalls, etc. components as defined in the CMDB.  </w:t>
            </w:r>
          </w:p>
        </w:tc>
      </w:tr>
      <w:tr w:rsidR="00AB5B83" w:rsidRPr="00C875E8" w:rsidTr="007B4DF9">
        <w:trPr>
          <w:cantSplit/>
        </w:trPr>
        <w:tc>
          <w:tcPr>
            <w:tcW w:w="1477" w:type="pct"/>
          </w:tcPr>
          <w:p w:rsidR="00AB5B83" w:rsidRPr="00C875E8" w:rsidRDefault="00AB5B83" w:rsidP="000B142B">
            <w:pPr>
              <w:pStyle w:val="HeadingTable"/>
              <w:keepNext/>
              <w:keepLines/>
              <w:jc w:val="both"/>
              <w:outlineLvl w:val="0"/>
              <w:rPr>
                <w:rFonts w:ascii="Times New Roman" w:hAnsi="Times New Roman"/>
                <w:b w:val="0"/>
                <w:sz w:val="24"/>
                <w:szCs w:val="22"/>
              </w:rPr>
            </w:pPr>
            <w:r w:rsidRPr="00C875E8">
              <w:rPr>
                <w:rFonts w:ascii="Times New Roman" w:hAnsi="Times New Roman"/>
                <w:b w:val="0"/>
                <w:sz w:val="24"/>
              </w:rPr>
              <w:t>Term</w:t>
            </w:r>
          </w:p>
        </w:tc>
        <w:tc>
          <w:tcPr>
            <w:tcW w:w="3523" w:type="pct"/>
          </w:tcPr>
          <w:p w:rsidR="00AB5B83" w:rsidRPr="00C875E8" w:rsidRDefault="00AB5B83" w:rsidP="000B142B">
            <w:pPr>
              <w:pStyle w:val="HeadingTable"/>
              <w:keepNext/>
              <w:keepLines/>
              <w:jc w:val="both"/>
              <w:outlineLvl w:val="0"/>
              <w:rPr>
                <w:rFonts w:ascii="Times New Roman" w:hAnsi="Times New Roman"/>
                <w:b w:val="0"/>
                <w:sz w:val="24"/>
                <w:szCs w:val="22"/>
              </w:rPr>
            </w:pPr>
            <w:r w:rsidRPr="00C875E8">
              <w:rPr>
                <w:rFonts w:ascii="Times New Roman" w:hAnsi="Times New Roman"/>
                <w:b w:val="0"/>
                <w:sz w:val="24"/>
              </w:rPr>
              <w:t>The duration the Contact between the Commonwealth and the Contractor, as more fully set forth in Appendix A (Terms and Conditions).</w:t>
            </w:r>
          </w:p>
        </w:tc>
      </w:tr>
      <w:tr w:rsidR="00AB5B83" w:rsidRPr="00C875E8" w:rsidTr="007B4DF9">
        <w:trPr>
          <w:cantSplit/>
        </w:trPr>
        <w:tc>
          <w:tcPr>
            <w:tcW w:w="1477" w:type="pct"/>
          </w:tcPr>
          <w:p w:rsidR="00AB5B83" w:rsidRPr="00C875E8" w:rsidRDefault="00AB5B83" w:rsidP="003D54AE">
            <w:pPr>
              <w:autoSpaceDE w:val="0"/>
              <w:autoSpaceDN w:val="0"/>
              <w:adjustRightInd w:val="0"/>
              <w:rPr>
                <w:sz w:val="24"/>
              </w:rPr>
            </w:pPr>
            <w:r w:rsidRPr="00C875E8">
              <w:rPr>
                <w:b/>
                <w:sz w:val="24"/>
              </w:rPr>
              <w:t xml:space="preserve">Terminated Services </w:t>
            </w:r>
          </w:p>
        </w:tc>
        <w:tc>
          <w:tcPr>
            <w:tcW w:w="3523" w:type="pct"/>
          </w:tcPr>
          <w:p w:rsidR="00AB5B83" w:rsidRPr="00C875E8" w:rsidRDefault="00AB5B83" w:rsidP="003D54AE">
            <w:pPr>
              <w:pStyle w:val="HeadingTable"/>
              <w:jc w:val="both"/>
              <w:rPr>
                <w:rFonts w:ascii="Times New Roman" w:hAnsi="Times New Roman"/>
                <w:b w:val="0"/>
                <w:sz w:val="24"/>
              </w:rPr>
            </w:pPr>
            <w:r w:rsidRPr="00C875E8">
              <w:rPr>
                <w:rFonts w:ascii="Times New Roman" w:hAnsi="Times New Roman"/>
                <w:b w:val="0"/>
                <w:sz w:val="24"/>
              </w:rPr>
              <w:t>Any Service(s) terminated by the Commonwealth.</w:t>
            </w:r>
          </w:p>
        </w:tc>
      </w:tr>
      <w:tr w:rsidR="00AB5B83" w:rsidRPr="00C875E8" w:rsidTr="007B4DF9">
        <w:trPr>
          <w:cantSplit/>
        </w:trPr>
        <w:tc>
          <w:tcPr>
            <w:tcW w:w="1477" w:type="pct"/>
          </w:tcPr>
          <w:p w:rsidR="00AB5B83" w:rsidRPr="00C875E8" w:rsidRDefault="00AB5B83" w:rsidP="003D54AE">
            <w:pPr>
              <w:autoSpaceDE w:val="0"/>
              <w:autoSpaceDN w:val="0"/>
              <w:adjustRightInd w:val="0"/>
              <w:rPr>
                <w:sz w:val="24"/>
              </w:rPr>
            </w:pPr>
            <w:r w:rsidRPr="00C875E8">
              <w:rPr>
                <w:sz w:val="24"/>
              </w:rPr>
              <w:t>Termination Assistance Services</w:t>
            </w:r>
          </w:p>
        </w:tc>
        <w:tc>
          <w:tcPr>
            <w:tcW w:w="3523" w:type="pct"/>
          </w:tcPr>
          <w:p w:rsidR="00AB5B83" w:rsidRPr="00C875E8" w:rsidRDefault="00AB5B83" w:rsidP="002157A5">
            <w:pPr>
              <w:pStyle w:val="HeadingTable"/>
              <w:jc w:val="both"/>
              <w:rPr>
                <w:rFonts w:ascii="Times New Roman" w:hAnsi="Times New Roman"/>
                <w:b w:val="0"/>
                <w:sz w:val="24"/>
              </w:rPr>
            </w:pPr>
            <w:r w:rsidRPr="00C875E8">
              <w:rPr>
                <w:rFonts w:ascii="Times New Roman" w:hAnsi="Times New Roman"/>
                <w:b w:val="0"/>
                <w:sz w:val="24"/>
              </w:rPr>
              <w:t>All necessary and appropriate actions to accomplish a complete, timely, and seamless transition of any Terminated Services from Offeror to the Commonwealth, or to any replacement provider designated by the Commonwealth.</w:t>
            </w:r>
          </w:p>
        </w:tc>
      </w:tr>
      <w:tr w:rsidR="00AB5B83" w:rsidRPr="00C875E8" w:rsidTr="007B4DF9">
        <w:trPr>
          <w:cantSplit/>
        </w:trPr>
        <w:tc>
          <w:tcPr>
            <w:tcW w:w="1477" w:type="pct"/>
          </w:tcPr>
          <w:p w:rsidR="00AB5B83" w:rsidRPr="00C875E8" w:rsidRDefault="00AB5B83" w:rsidP="003D54AE">
            <w:pPr>
              <w:autoSpaceDE w:val="0"/>
              <w:autoSpaceDN w:val="0"/>
              <w:adjustRightInd w:val="0"/>
              <w:rPr>
                <w:sz w:val="24"/>
              </w:rPr>
            </w:pPr>
            <w:r w:rsidRPr="00C875E8">
              <w:rPr>
                <w:sz w:val="24"/>
              </w:rPr>
              <w:t>Text</w:t>
            </w:r>
          </w:p>
        </w:tc>
        <w:tc>
          <w:tcPr>
            <w:tcW w:w="3523" w:type="pct"/>
          </w:tcPr>
          <w:p w:rsidR="00AB5B83" w:rsidRPr="00C875E8" w:rsidRDefault="00AB5B83" w:rsidP="003D54AE">
            <w:pPr>
              <w:pStyle w:val="HeadingTable"/>
              <w:jc w:val="both"/>
              <w:rPr>
                <w:rFonts w:ascii="Times New Roman" w:hAnsi="Times New Roman"/>
                <w:b w:val="0"/>
                <w:sz w:val="24"/>
              </w:rPr>
            </w:pPr>
            <w:r w:rsidRPr="00C875E8">
              <w:rPr>
                <w:rFonts w:ascii="Times New Roman" w:hAnsi="Times New Roman"/>
                <w:b w:val="0"/>
                <w:sz w:val="24"/>
              </w:rPr>
              <w:t>A data format that information can be stored that is usable by a standard personal computer</w:t>
            </w:r>
          </w:p>
        </w:tc>
      </w:tr>
      <w:tr w:rsidR="00AB5B83" w:rsidRPr="00C875E8" w:rsidTr="007B4DF9">
        <w:trPr>
          <w:cantSplit/>
        </w:trPr>
        <w:tc>
          <w:tcPr>
            <w:tcW w:w="1477" w:type="pct"/>
          </w:tcPr>
          <w:p w:rsidR="00AB5B83" w:rsidRPr="00C875E8" w:rsidRDefault="00AB5B83" w:rsidP="003D54AE">
            <w:pPr>
              <w:autoSpaceDE w:val="0"/>
              <w:autoSpaceDN w:val="0"/>
              <w:adjustRightInd w:val="0"/>
              <w:rPr>
                <w:sz w:val="24"/>
              </w:rPr>
            </w:pPr>
            <w:r w:rsidRPr="00C875E8">
              <w:rPr>
                <w:bCs/>
                <w:sz w:val="24"/>
              </w:rPr>
              <w:t>Third Party Software</w:t>
            </w:r>
          </w:p>
        </w:tc>
        <w:tc>
          <w:tcPr>
            <w:tcW w:w="3523" w:type="pct"/>
          </w:tcPr>
          <w:p w:rsidR="00AB5B83" w:rsidRPr="00C875E8" w:rsidRDefault="00AB5B83" w:rsidP="0026102C">
            <w:pPr>
              <w:pStyle w:val="HeadingTable"/>
              <w:jc w:val="both"/>
              <w:rPr>
                <w:rFonts w:ascii="Times New Roman" w:hAnsi="Times New Roman"/>
                <w:b w:val="0"/>
                <w:sz w:val="24"/>
              </w:rPr>
            </w:pPr>
            <w:r w:rsidRPr="00C875E8">
              <w:rPr>
                <w:rFonts w:ascii="Times New Roman" w:hAnsi="Times New Roman"/>
                <w:b w:val="0"/>
                <w:sz w:val="24"/>
              </w:rPr>
              <w:t xml:space="preserve">All Software products (and all modifications, replacements, upgrades, enhancements, documentation, materials and media related thereto) that are provided under license or lease by a third party to </w:t>
            </w:r>
            <w:r w:rsidR="0026102C">
              <w:rPr>
                <w:rFonts w:ascii="Times New Roman" w:hAnsi="Times New Roman"/>
                <w:b w:val="0"/>
                <w:sz w:val="24"/>
              </w:rPr>
              <w:t>Contractor</w:t>
            </w:r>
            <w:r w:rsidR="0026102C" w:rsidRPr="00C875E8">
              <w:rPr>
                <w:rFonts w:ascii="Times New Roman" w:hAnsi="Times New Roman"/>
                <w:b w:val="0"/>
                <w:sz w:val="24"/>
              </w:rPr>
              <w:t xml:space="preserve"> </w:t>
            </w:r>
            <w:r w:rsidRPr="00C875E8">
              <w:rPr>
                <w:rFonts w:ascii="Times New Roman" w:hAnsi="Times New Roman"/>
                <w:b w:val="0"/>
                <w:sz w:val="24"/>
              </w:rPr>
              <w:t>or Commonwealth.</w:t>
            </w:r>
          </w:p>
        </w:tc>
      </w:tr>
      <w:tr w:rsidR="00AB5B83" w:rsidRPr="00C875E8" w:rsidTr="007B4DF9">
        <w:trPr>
          <w:cantSplit/>
        </w:trPr>
        <w:tc>
          <w:tcPr>
            <w:tcW w:w="1477" w:type="pct"/>
          </w:tcPr>
          <w:p w:rsidR="00AB5B83" w:rsidRPr="00C875E8" w:rsidRDefault="00AB5B83" w:rsidP="003D54AE">
            <w:pPr>
              <w:autoSpaceDE w:val="0"/>
              <w:autoSpaceDN w:val="0"/>
              <w:adjustRightInd w:val="0"/>
              <w:rPr>
                <w:bCs/>
                <w:sz w:val="24"/>
              </w:rPr>
            </w:pPr>
            <w:r w:rsidRPr="00C875E8">
              <w:rPr>
                <w:sz w:val="24"/>
              </w:rPr>
              <w:t>Tier III Datacenter Rating</w:t>
            </w:r>
          </w:p>
        </w:tc>
        <w:tc>
          <w:tcPr>
            <w:tcW w:w="3523" w:type="pct"/>
          </w:tcPr>
          <w:p w:rsidR="00AB5B83" w:rsidRPr="00C875E8" w:rsidRDefault="00AB5B83" w:rsidP="003D54AE">
            <w:pPr>
              <w:pStyle w:val="HeadingTable"/>
              <w:keepNext/>
              <w:keepLines/>
              <w:jc w:val="both"/>
              <w:outlineLvl w:val="0"/>
              <w:rPr>
                <w:rFonts w:ascii="Times New Roman" w:hAnsi="Times New Roman"/>
                <w:b w:val="0"/>
                <w:sz w:val="24"/>
                <w:szCs w:val="22"/>
              </w:rPr>
            </w:pPr>
            <w:r w:rsidRPr="00C875E8">
              <w:rPr>
                <w:rFonts w:ascii="Times New Roman" w:hAnsi="Times New Roman"/>
                <w:b w:val="0"/>
                <w:sz w:val="24"/>
              </w:rPr>
              <w:t>Uptime Institute Tier Standard: Topology, TIA-942 Telecommunications Infrastructure Standard for Data Centers, and BICSI 002-2011 Data Center Design and Implementation Best Practices.</w:t>
            </w:r>
          </w:p>
        </w:tc>
      </w:tr>
      <w:tr w:rsidR="00AB5B83" w:rsidRPr="00C875E8" w:rsidTr="007B4DF9">
        <w:trPr>
          <w:cantSplit/>
        </w:trPr>
        <w:tc>
          <w:tcPr>
            <w:tcW w:w="1477" w:type="pct"/>
          </w:tcPr>
          <w:p w:rsidR="00AB5B83" w:rsidRPr="00C875E8" w:rsidRDefault="00AB5B83" w:rsidP="003D54AE">
            <w:pPr>
              <w:autoSpaceDE w:val="0"/>
              <w:autoSpaceDN w:val="0"/>
              <w:adjustRightInd w:val="0"/>
              <w:rPr>
                <w:sz w:val="24"/>
              </w:rPr>
            </w:pPr>
            <w:r w:rsidRPr="00C875E8">
              <w:rPr>
                <w:sz w:val="24"/>
              </w:rPr>
              <w:t>Tiered Disaster Recovery</w:t>
            </w:r>
          </w:p>
        </w:tc>
        <w:tc>
          <w:tcPr>
            <w:tcW w:w="3523" w:type="pct"/>
          </w:tcPr>
          <w:p w:rsidR="00AB5B83" w:rsidRPr="00C875E8" w:rsidRDefault="00AB5B83" w:rsidP="003D54AE">
            <w:pPr>
              <w:pStyle w:val="HeadingTable"/>
              <w:jc w:val="both"/>
              <w:rPr>
                <w:rFonts w:ascii="Times New Roman" w:hAnsi="Times New Roman"/>
                <w:b w:val="0"/>
                <w:sz w:val="24"/>
              </w:rPr>
            </w:pPr>
            <w:r w:rsidRPr="00C875E8">
              <w:rPr>
                <w:rFonts w:ascii="Times New Roman" w:hAnsi="Times New Roman"/>
                <w:b w:val="0"/>
                <w:sz w:val="24"/>
              </w:rPr>
              <w:t>A Disaster Recovery plan that allows for multiple Return to Operation (RTO) timeframes to satisfy varying Commonwealth requirements.</w:t>
            </w:r>
          </w:p>
        </w:tc>
      </w:tr>
      <w:tr w:rsidR="00AB5B83" w:rsidRPr="00C875E8" w:rsidTr="007B4DF9">
        <w:trPr>
          <w:cantSplit/>
        </w:trPr>
        <w:tc>
          <w:tcPr>
            <w:tcW w:w="1477" w:type="pct"/>
          </w:tcPr>
          <w:p w:rsidR="00AB5B83" w:rsidRPr="00C875E8" w:rsidRDefault="00AB5B83" w:rsidP="003D54AE">
            <w:pPr>
              <w:autoSpaceDE w:val="0"/>
              <w:autoSpaceDN w:val="0"/>
              <w:adjustRightInd w:val="0"/>
              <w:rPr>
                <w:bCs/>
                <w:sz w:val="24"/>
              </w:rPr>
            </w:pPr>
            <w:r w:rsidRPr="00C875E8">
              <w:rPr>
                <w:bCs/>
                <w:sz w:val="24"/>
              </w:rPr>
              <w:t>Time</w:t>
            </w:r>
          </w:p>
        </w:tc>
        <w:tc>
          <w:tcPr>
            <w:tcW w:w="3523" w:type="pct"/>
          </w:tcPr>
          <w:p w:rsidR="00AB5B83" w:rsidRPr="00C875E8" w:rsidDel="00A818D0" w:rsidRDefault="00AB5B83" w:rsidP="003D54AE">
            <w:pPr>
              <w:pStyle w:val="HeadingTable"/>
              <w:jc w:val="both"/>
              <w:rPr>
                <w:rFonts w:ascii="Times New Roman" w:hAnsi="Times New Roman"/>
                <w:b w:val="0"/>
                <w:sz w:val="24"/>
                <w:szCs w:val="22"/>
              </w:rPr>
            </w:pPr>
            <w:r w:rsidRPr="00C875E8">
              <w:rPr>
                <w:rFonts w:ascii="Times New Roman" w:hAnsi="Times New Roman"/>
                <w:b w:val="0"/>
                <w:sz w:val="24"/>
              </w:rPr>
              <w:t>Eastern Time (Standard or Daylight Savings time, as applicable)</w:t>
            </w:r>
          </w:p>
        </w:tc>
      </w:tr>
      <w:tr w:rsidR="00AB5B83" w:rsidRPr="00C875E8" w:rsidTr="007B4DF9">
        <w:trPr>
          <w:cantSplit/>
        </w:trPr>
        <w:tc>
          <w:tcPr>
            <w:tcW w:w="1477" w:type="pct"/>
          </w:tcPr>
          <w:p w:rsidR="00AB5B83" w:rsidRPr="00C875E8" w:rsidRDefault="00AB5B83" w:rsidP="003D54AE">
            <w:pPr>
              <w:autoSpaceDE w:val="0"/>
              <w:autoSpaceDN w:val="0"/>
              <w:adjustRightInd w:val="0"/>
              <w:rPr>
                <w:sz w:val="24"/>
              </w:rPr>
            </w:pPr>
            <w:r w:rsidRPr="00C875E8">
              <w:rPr>
                <w:bCs/>
                <w:sz w:val="24"/>
              </w:rPr>
              <w:t>Tools</w:t>
            </w:r>
          </w:p>
        </w:tc>
        <w:tc>
          <w:tcPr>
            <w:tcW w:w="3523" w:type="pct"/>
          </w:tcPr>
          <w:p w:rsidR="00AB5B83" w:rsidRPr="00C875E8" w:rsidRDefault="00AB5B83" w:rsidP="003D54AE">
            <w:pPr>
              <w:pStyle w:val="HeadingTable"/>
              <w:jc w:val="both"/>
              <w:rPr>
                <w:rFonts w:ascii="Times New Roman" w:hAnsi="Times New Roman"/>
                <w:b w:val="0"/>
                <w:sz w:val="24"/>
              </w:rPr>
            </w:pPr>
            <w:r w:rsidRPr="00C875E8">
              <w:rPr>
                <w:rFonts w:ascii="Times New Roman" w:hAnsi="Times New Roman"/>
                <w:b w:val="0"/>
                <w:sz w:val="24"/>
              </w:rPr>
              <w:t>Any tools, either in object code or source code form, which Offeror has previously developed, or which Offeror independently develops or licenses from a third party, excluding any tools that Offeror creates pursuant to this Contract. Offeror Tools includes but is not limited to, methodologies, information, concepts, toolbars for maneuvering between pages, search engines, JAVA applets, and ActiveX controls.</w:t>
            </w:r>
          </w:p>
        </w:tc>
      </w:tr>
      <w:tr w:rsidR="00AB5B83" w:rsidRPr="00C875E8" w:rsidTr="007B4DF9">
        <w:trPr>
          <w:cantSplit/>
        </w:trPr>
        <w:tc>
          <w:tcPr>
            <w:tcW w:w="1477" w:type="pct"/>
          </w:tcPr>
          <w:p w:rsidR="00AB5B83" w:rsidRPr="00C875E8" w:rsidRDefault="00AB5B83" w:rsidP="003D54AE">
            <w:pPr>
              <w:autoSpaceDE w:val="0"/>
              <w:autoSpaceDN w:val="0"/>
              <w:adjustRightInd w:val="0"/>
              <w:rPr>
                <w:sz w:val="24"/>
              </w:rPr>
            </w:pPr>
            <w:r w:rsidRPr="00C875E8">
              <w:rPr>
                <w:bCs/>
                <w:sz w:val="24"/>
              </w:rPr>
              <w:lastRenderedPageBreak/>
              <w:t>Transition Milestone</w:t>
            </w:r>
          </w:p>
        </w:tc>
        <w:tc>
          <w:tcPr>
            <w:tcW w:w="3523" w:type="pct"/>
          </w:tcPr>
          <w:p w:rsidR="00AB5B83" w:rsidRPr="00C875E8" w:rsidRDefault="00AB5B83" w:rsidP="009D797F">
            <w:pPr>
              <w:pStyle w:val="HeadingTable"/>
              <w:jc w:val="both"/>
              <w:rPr>
                <w:rFonts w:ascii="Times New Roman" w:hAnsi="Times New Roman"/>
                <w:b w:val="0"/>
                <w:sz w:val="24"/>
              </w:rPr>
            </w:pPr>
            <w:r w:rsidRPr="00C875E8">
              <w:rPr>
                <w:rFonts w:ascii="Times New Roman" w:hAnsi="Times New Roman"/>
                <w:b w:val="0"/>
                <w:sz w:val="24"/>
              </w:rPr>
              <w:t>Those tasks and associated completion dates set forth in Schedule D (Transition Milestones).</w:t>
            </w:r>
          </w:p>
        </w:tc>
      </w:tr>
      <w:tr w:rsidR="00EC3B13" w:rsidRPr="00C875E8" w:rsidTr="007B4DF9">
        <w:trPr>
          <w:cantSplit/>
        </w:trPr>
        <w:tc>
          <w:tcPr>
            <w:tcW w:w="1477" w:type="pct"/>
          </w:tcPr>
          <w:p w:rsidR="00EC3B13" w:rsidRPr="00EC3B13" w:rsidRDefault="00EC3B13" w:rsidP="002E1A3E">
            <w:pPr>
              <w:autoSpaceDE w:val="0"/>
              <w:autoSpaceDN w:val="0"/>
              <w:adjustRightInd w:val="0"/>
              <w:rPr>
                <w:bCs/>
                <w:sz w:val="24"/>
              </w:rPr>
            </w:pPr>
            <w:r w:rsidRPr="00EC3B13">
              <w:rPr>
                <w:sz w:val="24"/>
              </w:rPr>
              <w:t xml:space="preserve">Transition </w:t>
            </w:r>
            <w:r w:rsidR="002E1A3E">
              <w:rPr>
                <w:sz w:val="24"/>
              </w:rPr>
              <w:t>O</w:t>
            </w:r>
            <w:r w:rsidRPr="00EC3B13">
              <w:rPr>
                <w:sz w:val="24"/>
              </w:rPr>
              <w:t>rders</w:t>
            </w:r>
          </w:p>
        </w:tc>
        <w:tc>
          <w:tcPr>
            <w:tcW w:w="3523" w:type="pct"/>
          </w:tcPr>
          <w:p w:rsidR="00EC3B13" w:rsidRPr="00EC3B13" w:rsidRDefault="00EC3B13" w:rsidP="00EC3B13">
            <w:pPr>
              <w:pStyle w:val="HeadingTable"/>
              <w:jc w:val="both"/>
              <w:rPr>
                <w:rFonts w:ascii="Times New Roman" w:hAnsi="Times New Roman"/>
                <w:b w:val="0"/>
                <w:sz w:val="24"/>
              </w:rPr>
            </w:pPr>
            <w:r w:rsidRPr="00EC3B13">
              <w:rPr>
                <w:rFonts w:ascii="Times New Roman" w:hAnsi="Times New Roman"/>
                <w:b w:val="0"/>
                <w:sz w:val="24"/>
              </w:rPr>
              <w:t>The orders for existing Commonwealth services that will be placed to transition those services into the contract.</w:t>
            </w:r>
          </w:p>
        </w:tc>
      </w:tr>
      <w:tr w:rsidR="00AB5B83" w:rsidRPr="00C875E8" w:rsidTr="007B4DF9">
        <w:trPr>
          <w:cantSplit/>
        </w:trPr>
        <w:tc>
          <w:tcPr>
            <w:tcW w:w="1477" w:type="pct"/>
          </w:tcPr>
          <w:p w:rsidR="00AB5B83" w:rsidRPr="00C875E8" w:rsidRDefault="00AB5B83" w:rsidP="003D54AE">
            <w:pPr>
              <w:autoSpaceDE w:val="0"/>
              <w:autoSpaceDN w:val="0"/>
              <w:adjustRightInd w:val="0"/>
              <w:rPr>
                <w:sz w:val="24"/>
              </w:rPr>
            </w:pPr>
            <w:r w:rsidRPr="00C875E8">
              <w:rPr>
                <w:bCs/>
                <w:sz w:val="24"/>
              </w:rPr>
              <w:t>Transition Plan</w:t>
            </w:r>
          </w:p>
        </w:tc>
        <w:tc>
          <w:tcPr>
            <w:tcW w:w="3523" w:type="pct"/>
          </w:tcPr>
          <w:p w:rsidR="00AB5B83" w:rsidRPr="00C875E8" w:rsidRDefault="00AB5B83" w:rsidP="007764D9">
            <w:pPr>
              <w:pStyle w:val="HeadingTable"/>
              <w:jc w:val="both"/>
              <w:rPr>
                <w:rFonts w:ascii="Times New Roman" w:hAnsi="Times New Roman"/>
                <w:b w:val="0"/>
                <w:sz w:val="24"/>
              </w:rPr>
            </w:pPr>
            <w:r w:rsidRPr="00C875E8">
              <w:rPr>
                <w:rFonts w:ascii="Times New Roman" w:hAnsi="Times New Roman"/>
                <w:b w:val="0"/>
                <w:sz w:val="24"/>
              </w:rPr>
              <w:t xml:space="preserve">The plan set out and agreed to by the parties in Schedule M </w:t>
            </w:r>
            <w:r>
              <w:rPr>
                <w:rFonts w:ascii="Times New Roman" w:hAnsi="Times New Roman"/>
                <w:b w:val="0"/>
                <w:sz w:val="24"/>
              </w:rPr>
              <w:t>–</w:t>
            </w:r>
            <w:r w:rsidRPr="00C875E8">
              <w:rPr>
                <w:rFonts w:ascii="Times New Roman" w:hAnsi="Times New Roman"/>
                <w:b w:val="0"/>
                <w:sz w:val="24"/>
              </w:rPr>
              <w:t xml:space="preserve"> </w:t>
            </w:r>
            <w:r>
              <w:rPr>
                <w:rFonts w:ascii="Times New Roman" w:hAnsi="Times New Roman"/>
                <w:b w:val="0"/>
                <w:sz w:val="24"/>
              </w:rPr>
              <w:t xml:space="preserve">Detailed </w:t>
            </w:r>
            <w:r w:rsidRPr="00C875E8">
              <w:rPr>
                <w:rFonts w:ascii="Times New Roman" w:hAnsi="Times New Roman"/>
                <w:b w:val="0"/>
                <w:sz w:val="24"/>
              </w:rPr>
              <w:t xml:space="preserve">Transition Plan detailing the activities, timescales and responsibilities for transitioning the services from Commonwealth to Offeror, including Transition Milestones.  </w:t>
            </w:r>
          </w:p>
        </w:tc>
      </w:tr>
      <w:tr w:rsidR="00AB5B83" w:rsidRPr="00C875E8" w:rsidTr="007B4DF9">
        <w:trPr>
          <w:cantSplit/>
        </w:trPr>
        <w:tc>
          <w:tcPr>
            <w:tcW w:w="1477" w:type="pct"/>
          </w:tcPr>
          <w:p w:rsidR="00AB5B83" w:rsidRPr="00C875E8" w:rsidRDefault="00AB5B83" w:rsidP="003D54AE">
            <w:pPr>
              <w:autoSpaceDE w:val="0"/>
              <w:autoSpaceDN w:val="0"/>
              <w:adjustRightInd w:val="0"/>
              <w:rPr>
                <w:bCs/>
                <w:sz w:val="24"/>
              </w:rPr>
            </w:pPr>
            <w:r w:rsidRPr="00C875E8">
              <w:rPr>
                <w:color w:val="000000"/>
                <w:sz w:val="24"/>
              </w:rPr>
              <w:t>Transition Program Management Office</w:t>
            </w:r>
            <w:r w:rsidRPr="00C875E8">
              <w:rPr>
                <w:color w:val="000000"/>
                <w:sz w:val="24"/>
              </w:rPr>
              <w:br/>
              <w:t>(TPMO)</w:t>
            </w:r>
          </w:p>
        </w:tc>
        <w:tc>
          <w:tcPr>
            <w:tcW w:w="3523" w:type="pct"/>
          </w:tcPr>
          <w:p w:rsidR="00AB5B83" w:rsidRPr="00C875E8" w:rsidRDefault="00AB5B83" w:rsidP="003D54AE">
            <w:pPr>
              <w:pStyle w:val="HeadingTable"/>
              <w:jc w:val="both"/>
              <w:rPr>
                <w:rFonts w:ascii="Times New Roman" w:hAnsi="Times New Roman"/>
                <w:b w:val="0"/>
                <w:sz w:val="24"/>
              </w:rPr>
            </w:pPr>
            <w:r w:rsidRPr="00C875E8">
              <w:rPr>
                <w:rFonts w:ascii="Times New Roman" w:hAnsi="Times New Roman"/>
                <w:b w:val="0"/>
                <w:sz w:val="24"/>
              </w:rPr>
              <w:t xml:space="preserve">The organization responsible for transitioning services to the Offeror’s control.  </w:t>
            </w:r>
            <w:r w:rsidRPr="00C875E8">
              <w:rPr>
                <w:rFonts w:ascii="Times New Roman" w:hAnsi="Times New Roman"/>
                <w:b w:val="0"/>
                <w:color w:val="000000"/>
              </w:rPr>
              <w:t>The TPMO will provide program management Services to deliver architecture, transition plan integration, and organizational change management, as well as quality assurance, verification of testing, financial oversight, and operational readiness for the Mainframe and Server transition/consolidation program.</w:t>
            </w:r>
          </w:p>
        </w:tc>
      </w:tr>
      <w:tr w:rsidR="00AB5B83" w:rsidRPr="00C875E8" w:rsidTr="007B4DF9">
        <w:trPr>
          <w:cantSplit/>
        </w:trPr>
        <w:tc>
          <w:tcPr>
            <w:tcW w:w="1477" w:type="pct"/>
          </w:tcPr>
          <w:p w:rsidR="00AB5B83" w:rsidRPr="00C875E8" w:rsidRDefault="00AB5B83" w:rsidP="003D54AE">
            <w:pPr>
              <w:autoSpaceDE w:val="0"/>
              <w:autoSpaceDN w:val="0"/>
              <w:adjustRightInd w:val="0"/>
              <w:rPr>
                <w:sz w:val="24"/>
              </w:rPr>
            </w:pPr>
            <w:bookmarkStart w:id="26" w:name="OLE_LINK35"/>
            <w:bookmarkStart w:id="27" w:name="OLE_LINK36"/>
            <w:r w:rsidRPr="00C875E8">
              <w:rPr>
                <w:sz w:val="24"/>
              </w:rPr>
              <w:t>Transition Services</w:t>
            </w:r>
            <w:bookmarkEnd w:id="26"/>
            <w:bookmarkEnd w:id="27"/>
          </w:p>
        </w:tc>
        <w:tc>
          <w:tcPr>
            <w:tcW w:w="3523" w:type="pct"/>
          </w:tcPr>
          <w:p w:rsidR="00AB5B83" w:rsidRPr="00C875E8" w:rsidRDefault="00AB5B83" w:rsidP="00F56FD6">
            <w:pPr>
              <w:pStyle w:val="Default"/>
              <w:jc w:val="both"/>
              <w:rPr>
                <w:szCs w:val="22"/>
              </w:rPr>
            </w:pPr>
            <w:r w:rsidRPr="00C875E8">
              <w:rPr>
                <w:sz w:val="22"/>
                <w:szCs w:val="22"/>
              </w:rPr>
              <w:t xml:space="preserve">Means the transition activities, functions and deliverables described in the Detailed Transition Plan and such other tasks as are necessary to enable Offeror to provide the Services. </w:t>
            </w:r>
          </w:p>
        </w:tc>
      </w:tr>
      <w:tr w:rsidR="00AB5B83" w:rsidRPr="00C875E8" w:rsidTr="007B4DF9">
        <w:trPr>
          <w:cantSplit/>
        </w:trPr>
        <w:tc>
          <w:tcPr>
            <w:tcW w:w="1477" w:type="pct"/>
          </w:tcPr>
          <w:p w:rsidR="00AB5B83" w:rsidRPr="00C875E8" w:rsidRDefault="00AB5B83" w:rsidP="003D54AE">
            <w:pPr>
              <w:autoSpaceDE w:val="0"/>
              <w:autoSpaceDN w:val="0"/>
              <w:adjustRightInd w:val="0"/>
              <w:rPr>
                <w:bCs/>
                <w:sz w:val="24"/>
              </w:rPr>
            </w:pPr>
            <w:r w:rsidRPr="00C875E8">
              <w:rPr>
                <w:sz w:val="24"/>
              </w:rPr>
              <w:t>Vulnerability Analyses</w:t>
            </w:r>
          </w:p>
        </w:tc>
        <w:tc>
          <w:tcPr>
            <w:tcW w:w="3523" w:type="pct"/>
          </w:tcPr>
          <w:p w:rsidR="00AB5B83" w:rsidRPr="00C875E8" w:rsidRDefault="00AB5B83" w:rsidP="003D54AE">
            <w:pPr>
              <w:pStyle w:val="HeadingTable"/>
              <w:jc w:val="both"/>
              <w:rPr>
                <w:rFonts w:ascii="Times New Roman" w:hAnsi="Times New Roman"/>
                <w:b w:val="0"/>
                <w:sz w:val="24"/>
              </w:rPr>
            </w:pPr>
            <w:r w:rsidRPr="00C875E8">
              <w:rPr>
                <w:rFonts w:ascii="Times New Roman" w:hAnsi="Times New Roman"/>
                <w:b w:val="0"/>
                <w:sz w:val="24"/>
              </w:rPr>
              <w:t>A security analysis to determine the possibility of an unauthorized intrusion, loss of data, denial of service or other security breach.</w:t>
            </w:r>
          </w:p>
        </w:tc>
      </w:tr>
      <w:tr w:rsidR="00AB5B83" w:rsidRPr="00C875E8" w:rsidTr="007B4DF9">
        <w:trPr>
          <w:cantSplit/>
        </w:trPr>
        <w:tc>
          <w:tcPr>
            <w:tcW w:w="1477" w:type="pct"/>
          </w:tcPr>
          <w:p w:rsidR="00AB5B83" w:rsidRPr="00C875E8" w:rsidRDefault="00AB5B83" w:rsidP="003D54AE">
            <w:pPr>
              <w:autoSpaceDE w:val="0"/>
              <w:autoSpaceDN w:val="0"/>
              <w:adjustRightInd w:val="0"/>
              <w:rPr>
                <w:bCs/>
                <w:sz w:val="24"/>
              </w:rPr>
            </w:pPr>
            <w:r w:rsidRPr="00C875E8">
              <w:rPr>
                <w:sz w:val="24"/>
              </w:rPr>
              <w:t>x86</w:t>
            </w:r>
          </w:p>
        </w:tc>
        <w:tc>
          <w:tcPr>
            <w:tcW w:w="3523" w:type="pct"/>
          </w:tcPr>
          <w:p w:rsidR="00AB5B83" w:rsidRPr="00C875E8" w:rsidRDefault="00AB5B83" w:rsidP="003D54AE">
            <w:pPr>
              <w:pStyle w:val="HeadingTable"/>
              <w:jc w:val="both"/>
              <w:rPr>
                <w:rFonts w:ascii="Times New Roman" w:hAnsi="Times New Roman"/>
                <w:b w:val="0"/>
                <w:sz w:val="24"/>
              </w:rPr>
            </w:pPr>
            <w:r w:rsidRPr="00C875E8">
              <w:rPr>
                <w:rFonts w:ascii="Times New Roman" w:hAnsi="Times New Roman"/>
                <w:b w:val="0"/>
                <w:sz w:val="24"/>
              </w:rPr>
              <w:t>A series of computer microprocessor instruction set architectures based on the Intel 8086 CPU.</w:t>
            </w:r>
          </w:p>
        </w:tc>
      </w:tr>
      <w:tr w:rsidR="00AB5B83" w:rsidRPr="003D54AE" w:rsidTr="007B4DF9">
        <w:trPr>
          <w:cantSplit/>
        </w:trPr>
        <w:tc>
          <w:tcPr>
            <w:tcW w:w="1477" w:type="pct"/>
          </w:tcPr>
          <w:p w:rsidR="00AB5B83" w:rsidRPr="00C875E8" w:rsidRDefault="00AB5B83" w:rsidP="003D54AE">
            <w:pPr>
              <w:autoSpaceDE w:val="0"/>
              <w:autoSpaceDN w:val="0"/>
              <w:adjustRightInd w:val="0"/>
              <w:rPr>
                <w:sz w:val="24"/>
              </w:rPr>
            </w:pPr>
            <w:r w:rsidRPr="00C875E8">
              <w:rPr>
                <w:sz w:val="24"/>
              </w:rPr>
              <w:t>XML</w:t>
            </w:r>
          </w:p>
        </w:tc>
        <w:tc>
          <w:tcPr>
            <w:tcW w:w="3523" w:type="pct"/>
          </w:tcPr>
          <w:p w:rsidR="00AB5B83" w:rsidRPr="003D54AE" w:rsidRDefault="00AB5B83" w:rsidP="003D54AE">
            <w:pPr>
              <w:pStyle w:val="HeadingTable"/>
              <w:jc w:val="both"/>
              <w:rPr>
                <w:rFonts w:ascii="Times New Roman" w:hAnsi="Times New Roman"/>
                <w:b w:val="0"/>
                <w:sz w:val="24"/>
              </w:rPr>
            </w:pPr>
            <w:r w:rsidRPr="00C875E8">
              <w:rPr>
                <w:rFonts w:ascii="Times New Roman" w:hAnsi="Times New Roman"/>
                <w:b w:val="0"/>
                <w:sz w:val="24"/>
              </w:rPr>
              <w:t>A data format standard allowing computing systems to exchange information over a data connection.</w:t>
            </w:r>
          </w:p>
        </w:tc>
      </w:tr>
      <w:bookmarkEnd w:id="24"/>
    </w:tbl>
    <w:p w:rsidR="009B7557" w:rsidRPr="00764264" w:rsidRDefault="009B7557" w:rsidP="00764264">
      <w:pPr>
        <w:autoSpaceDE w:val="0"/>
        <w:autoSpaceDN w:val="0"/>
        <w:adjustRightInd w:val="0"/>
        <w:rPr>
          <w:sz w:val="24"/>
        </w:rPr>
      </w:pPr>
    </w:p>
    <w:sectPr w:rsidR="009B7557" w:rsidRPr="00764264" w:rsidSect="00606B3E">
      <w:headerReference w:type="default" r:id="rId1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B535F" w:rsidRDefault="002B535F">
      <w:r>
        <w:separator/>
      </w:r>
    </w:p>
  </w:endnote>
  <w:endnote w:type="continuationSeparator" w:id="0">
    <w:p w:rsidR="002B535F" w:rsidRDefault="002B535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auto"/>
    <w:notTrueType/>
    <w:pitch w:val="default"/>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Verdana">
    <w:altName w:val="Device Font 10cpi"/>
    <w:panose1 w:val="020B0604030504040204"/>
    <w:charset w:val="00"/>
    <w:family w:val="swiss"/>
    <w:pitch w:val="variable"/>
    <w:sig w:usb0="20000287" w:usb1="00000000"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01C8" w:rsidRDefault="00BF01C8">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B56" w:rsidRPr="00A8150D" w:rsidRDefault="00711B56" w:rsidP="00951ED3">
    <w:pPr>
      <w:pStyle w:val="Footer"/>
      <w:pBdr>
        <w:top w:val="single" w:sz="4" w:space="1" w:color="auto"/>
      </w:pBdr>
      <w:spacing w:before="0"/>
      <w:jc w:val="center"/>
      <w:rPr>
        <w:i w:val="0"/>
        <w:sz w:val="20"/>
        <w:szCs w:val="20"/>
      </w:rPr>
    </w:pPr>
    <w:r>
      <w:rPr>
        <w:i w:val="0"/>
        <w:sz w:val="20"/>
        <w:szCs w:val="20"/>
      </w:rPr>
      <w:t>Schedule A</w:t>
    </w:r>
  </w:p>
  <w:p w:rsidR="00711B56" w:rsidRPr="00951ED3" w:rsidRDefault="00711B56" w:rsidP="00FD6649">
    <w:pPr>
      <w:pStyle w:val="Footer"/>
      <w:spacing w:before="0"/>
      <w:jc w:val="center"/>
      <w:rPr>
        <w:i w:val="0"/>
        <w:sz w:val="16"/>
        <w:szCs w:val="20"/>
      </w:rPr>
    </w:pPr>
    <w:r w:rsidRPr="00A8150D">
      <w:rPr>
        <w:i w:val="0"/>
        <w:sz w:val="20"/>
        <w:szCs w:val="20"/>
      </w:rPr>
      <w:t xml:space="preserve">Page </w:t>
    </w:r>
    <w:r w:rsidR="009E698D" w:rsidRPr="00A8150D">
      <w:rPr>
        <w:b/>
        <w:i w:val="0"/>
        <w:sz w:val="20"/>
        <w:szCs w:val="20"/>
      </w:rPr>
      <w:fldChar w:fldCharType="begin"/>
    </w:r>
    <w:r w:rsidRPr="00A8150D">
      <w:rPr>
        <w:b/>
        <w:i w:val="0"/>
        <w:sz w:val="20"/>
        <w:szCs w:val="20"/>
      </w:rPr>
      <w:instrText xml:space="preserve"> PAGE </w:instrText>
    </w:r>
    <w:r w:rsidR="009E698D" w:rsidRPr="00A8150D">
      <w:rPr>
        <w:b/>
        <w:i w:val="0"/>
        <w:sz w:val="20"/>
        <w:szCs w:val="20"/>
      </w:rPr>
      <w:fldChar w:fldCharType="separate"/>
    </w:r>
    <w:r w:rsidR="00152469">
      <w:rPr>
        <w:b/>
        <w:i w:val="0"/>
        <w:noProof/>
        <w:sz w:val="20"/>
        <w:szCs w:val="20"/>
      </w:rPr>
      <w:t>21</w:t>
    </w:r>
    <w:r w:rsidR="009E698D" w:rsidRPr="00A8150D">
      <w:rPr>
        <w:b/>
        <w:i w:val="0"/>
        <w:sz w:val="20"/>
        <w:szCs w:val="20"/>
      </w:rPr>
      <w:fldChar w:fldCharType="end"/>
    </w:r>
    <w:r w:rsidRPr="00A8150D">
      <w:rPr>
        <w:i w:val="0"/>
        <w:sz w:val="20"/>
        <w:szCs w:val="20"/>
      </w:rPr>
      <w:t xml:space="preserve"> of </w:t>
    </w:r>
    <w:r w:rsidR="009E698D" w:rsidRPr="00A8150D">
      <w:rPr>
        <w:b/>
        <w:i w:val="0"/>
        <w:sz w:val="20"/>
        <w:szCs w:val="20"/>
      </w:rPr>
      <w:fldChar w:fldCharType="begin"/>
    </w:r>
    <w:r w:rsidRPr="00A8150D">
      <w:rPr>
        <w:b/>
        <w:i w:val="0"/>
        <w:sz w:val="20"/>
        <w:szCs w:val="20"/>
      </w:rPr>
      <w:instrText xml:space="preserve"> NUMPAGES  </w:instrText>
    </w:r>
    <w:r w:rsidR="009E698D" w:rsidRPr="00A8150D">
      <w:rPr>
        <w:b/>
        <w:i w:val="0"/>
        <w:sz w:val="20"/>
        <w:szCs w:val="20"/>
      </w:rPr>
      <w:fldChar w:fldCharType="separate"/>
    </w:r>
    <w:r w:rsidR="00152469">
      <w:rPr>
        <w:b/>
        <w:i w:val="0"/>
        <w:noProof/>
        <w:sz w:val="20"/>
        <w:szCs w:val="20"/>
      </w:rPr>
      <w:t>22</w:t>
    </w:r>
    <w:r w:rsidR="009E698D" w:rsidRPr="00A8150D">
      <w:rPr>
        <w:b/>
        <w:i w:val="0"/>
        <w:sz w:val="20"/>
        <w:szCs w:val="20"/>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01C8" w:rsidRDefault="00BF01C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B535F" w:rsidRDefault="002B535F">
      <w:r>
        <w:separator/>
      </w:r>
    </w:p>
  </w:footnote>
  <w:footnote w:type="continuationSeparator" w:id="0">
    <w:p w:rsidR="002B535F" w:rsidRDefault="002B535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01C8" w:rsidRDefault="00BF01C8">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01C8" w:rsidRDefault="00BF01C8">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01C8" w:rsidRDefault="00BF01C8">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B56" w:rsidRPr="00A8150D" w:rsidRDefault="00711B56" w:rsidP="003B1D2C">
    <w:pPr>
      <w:pStyle w:val="Header"/>
      <w:pBdr>
        <w:bottom w:val="single" w:sz="4" w:space="1" w:color="auto"/>
      </w:pBdr>
      <w:rPr>
        <w:i/>
      </w:rPr>
    </w:pPr>
    <w:r w:rsidRPr="00A8150D">
      <w:rPr>
        <w:i/>
        <w:sz w:val="20"/>
        <w:szCs w:val="20"/>
      </w:rPr>
      <w:t>Commonwealth of Pennsylvania</w:t>
    </w:r>
    <w:r w:rsidRPr="00A8150D">
      <w:rPr>
        <w:i/>
        <w:sz w:val="20"/>
        <w:szCs w:val="20"/>
      </w:rPr>
      <w:tab/>
      <w:t>Data Center Computing Services RFP # 6100022698</w:t>
    </w:r>
  </w:p>
  <w:p w:rsidR="00711B56" w:rsidRDefault="00711B56" w:rsidP="00140BE5">
    <w:pPr>
      <w:pStyle w:val="Header"/>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D"/>
    <w:multiLevelType w:val="singleLevel"/>
    <w:tmpl w:val="E596701A"/>
    <w:lvl w:ilvl="0">
      <w:start w:val="1"/>
      <w:numFmt w:val="decimal"/>
      <w:pStyle w:val="ListBullet4"/>
      <w:lvlText w:val="%1."/>
      <w:lvlJc w:val="left"/>
      <w:pPr>
        <w:tabs>
          <w:tab w:val="num" w:pos="1440"/>
        </w:tabs>
        <w:ind w:left="1440" w:hanging="360"/>
      </w:pPr>
      <w:rPr>
        <w:rFonts w:cs="Times New Roman"/>
      </w:rPr>
    </w:lvl>
  </w:abstractNum>
  <w:abstractNum w:abstractNumId="1">
    <w:nsid w:val="FFFFFF7E"/>
    <w:multiLevelType w:val="singleLevel"/>
    <w:tmpl w:val="D2A6D404"/>
    <w:lvl w:ilvl="0">
      <w:start w:val="1"/>
      <w:numFmt w:val="decimal"/>
      <w:pStyle w:val="ListBullet3"/>
      <w:lvlText w:val="%1."/>
      <w:lvlJc w:val="left"/>
      <w:pPr>
        <w:tabs>
          <w:tab w:val="num" w:pos="1080"/>
        </w:tabs>
        <w:ind w:left="1080" w:hanging="360"/>
      </w:pPr>
      <w:rPr>
        <w:rFonts w:cs="Times New Roman"/>
      </w:rPr>
    </w:lvl>
  </w:abstractNum>
  <w:abstractNum w:abstractNumId="2">
    <w:nsid w:val="FFFFFF7F"/>
    <w:multiLevelType w:val="singleLevel"/>
    <w:tmpl w:val="266097EC"/>
    <w:lvl w:ilvl="0">
      <w:start w:val="1"/>
      <w:numFmt w:val="decimal"/>
      <w:pStyle w:val="ListNumber"/>
      <w:lvlText w:val="%1."/>
      <w:lvlJc w:val="left"/>
      <w:pPr>
        <w:tabs>
          <w:tab w:val="num" w:pos="720"/>
        </w:tabs>
        <w:ind w:left="720" w:hanging="360"/>
      </w:pPr>
      <w:rPr>
        <w:rFonts w:cs="Times New Roman"/>
      </w:rPr>
    </w:lvl>
  </w:abstractNum>
  <w:abstractNum w:abstractNumId="3">
    <w:nsid w:val="FFFFFF83"/>
    <w:multiLevelType w:val="singleLevel"/>
    <w:tmpl w:val="EE56EC54"/>
    <w:lvl w:ilvl="0">
      <w:start w:val="1"/>
      <w:numFmt w:val="bullet"/>
      <w:pStyle w:val="ListNumber3"/>
      <w:lvlText w:val=""/>
      <w:lvlJc w:val="left"/>
      <w:pPr>
        <w:tabs>
          <w:tab w:val="num" w:pos="720"/>
        </w:tabs>
        <w:ind w:left="720" w:hanging="360"/>
      </w:pPr>
      <w:rPr>
        <w:rFonts w:ascii="Symbol" w:hAnsi="Symbol" w:hint="default"/>
      </w:rPr>
    </w:lvl>
  </w:abstractNum>
  <w:abstractNum w:abstractNumId="4">
    <w:nsid w:val="FFFFFF88"/>
    <w:multiLevelType w:val="singleLevel"/>
    <w:tmpl w:val="E67CBF38"/>
    <w:lvl w:ilvl="0">
      <w:start w:val="1"/>
      <w:numFmt w:val="decimal"/>
      <w:pStyle w:val="ListNumber4"/>
      <w:lvlText w:val="%1."/>
      <w:lvlJc w:val="left"/>
      <w:pPr>
        <w:tabs>
          <w:tab w:val="num" w:pos="360"/>
        </w:tabs>
        <w:ind w:left="360" w:hanging="360"/>
      </w:pPr>
      <w:rPr>
        <w:rFonts w:cs="Times New Roman"/>
      </w:rPr>
    </w:lvl>
  </w:abstractNum>
  <w:abstractNum w:abstractNumId="5">
    <w:nsid w:val="FFFFFF89"/>
    <w:multiLevelType w:val="singleLevel"/>
    <w:tmpl w:val="7BE20BA4"/>
    <w:lvl w:ilvl="0">
      <w:start w:val="1"/>
      <w:numFmt w:val="bullet"/>
      <w:pStyle w:val="ListNumber2"/>
      <w:lvlText w:val=""/>
      <w:lvlJc w:val="left"/>
      <w:pPr>
        <w:tabs>
          <w:tab w:val="num" w:pos="360"/>
        </w:tabs>
        <w:ind w:left="360" w:hanging="360"/>
      </w:pPr>
      <w:rPr>
        <w:rFonts w:ascii="Symbol" w:hAnsi="Symbol" w:hint="default"/>
      </w:rPr>
    </w:lvl>
  </w:abstractNum>
  <w:abstractNum w:abstractNumId="6">
    <w:nsid w:val="00000002"/>
    <w:multiLevelType w:val="multilevel"/>
    <w:tmpl w:val="46C67218"/>
    <w:lvl w:ilvl="0">
      <w:start w:val="1"/>
      <w:numFmt w:val="decimal"/>
      <w:lvlRestart w:val="0"/>
      <w:pStyle w:val="Legal2L1"/>
      <w:lvlText w:val="%1."/>
      <w:lvlJc w:val="left"/>
      <w:pPr>
        <w:tabs>
          <w:tab w:val="num" w:pos="720"/>
        </w:tabs>
        <w:ind w:left="720" w:hanging="720"/>
      </w:pPr>
      <w:rPr>
        <w:rFonts w:ascii="Times New Roman" w:hAnsi="Times New Roman" w:cs="Times New Roman"/>
        <w:b/>
        <w:bCs/>
        <w:i w:val="0"/>
        <w:iCs w:val="0"/>
        <w:caps w:val="0"/>
        <w:smallCaps w:val="0"/>
        <w:color w:val="000000"/>
        <w:spacing w:val="0"/>
        <w:sz w:val="20"/>
        <w:szCs w:val="20"/>
        <w:u w:val="none"/>
      </w:rPr>
    </w:lvl>
    <w:lvl w:ilvl="1">
      <w:start w:val="1"/>
      <w:numFmt w:val="decimal"/>
      <w:pStyle w:val="Legal2L2"/>
      <w:isLgl/>
      <w:lvlText w:val="%1.%2"/>
      <w:lvlJc w:val="left"/>
      <w:pPr>
        <w:tabs>
          <w:tab w:val="num" w:pos="720"/>
        </w:tabs>
        <w:ind w:left="720" w:hanging="720"/>
      </w:pPr>
      <w:rPr>
        <w:rFonts w:ascii="Times New Roman" w:hAnsi="Times New Roman" w:cs="Times New Roman"/>
        <w:b/>
        <w:bCs/>
        <w:i w:val="0"/>
        <w:iCs w:val="0"/>
        <w:caps w:val="0"/>
        <w:color w:val="000000"/>
        <w:spacing w:val="0"/>
        <w:sz w:val="20"/>
        <w:szCs w:val="20"/>
        <w:u w:val="none"/>
      </w:rPr>
    </w:lvl>
    <w:lvl w:ilvl="2">
      <w:start w:val="1"/>
      <w:numFmt w:val="lowerLetter"/>
      <w:pStyle w:val="Legal2L3"/>
      <w:lvlText w:val="(%3)"/>
      <w:lvlJc w:val="left"/>
      <w:pPr>
        <w:tabs>
          <w:tab w:val="num" w:pos="1320"/>
        </w:tabs>
        <w:ind w:left="1320" w:hanging="720"/>
      </w:pPr>
      <w:rPr>
        <w:rFonts w:ascii="Times New Roman" w:hAnsi="Times New Roman" w:cs="Times New Roman"/>
        <w:b w:val="0"/>
        <w:bCs w:val="0"/>
        <w:i w:val="0"/>
        <w:iCs w:val="0"/>
        <w:caps w:val="0"/>
        <w:color w:val="000000"/>
        <w:spacing w:val="0"/>
        <w:sz w:val="20"/>
        <w:szCs w:val="20"/>
        <w:u w:val="none"/>
      </w:rPr>
    </w:lvl>
    <w:lvl w:ilvl="3">
      <w:start w:val="1"/>
      <w:numFmt w:val="lowerRoman"/>
      <w:pStyle w:val="Legal2L4"/>
      <w:lvlText w:val="(%4)"/>
      <w:lvlJc w:val="left"/>
      <w:pPr>
        <w:tabs>
          <w:tab w:val="num" w:pos="2160"/>
        </w:tabs>
        <w:ind w:left="2160" w:hanging="720"/>
      </w:pPr>
      <w:rPr>
        <w:rFonts w:ascii="Times New Roman" w:hAnsi="Times New Roman" w:cs="Times New Roman"/>
        <w:b w:val="0"/>
        <w:bCs w:val="0"/>
        <w:i w:val="0"/>
        <w:iCs w:val="0"/>
        <w:caps w:val="0"/>
        <w:color w:val="000000"/>
        <w:spacing w:val="0"/>
        <w:sz w:val="20"/>
        <w:szCs w:val="20"/>
        <w:u w:val="none"/>
      </w:rPr>
    </w:lvl>
    <w:lvl w:ilvl="4">
      <w:start w:val="1"/>
      <w:numFmt w:val="upperLetter"/>
      <w:pStyle w:val="Legal2L5"/>
      <w:lvlText w:val="(%5)"/>
      <w:lvlJc w:val="left"/>
      <w:pPr>
        <w:tabs>
          <w:tab w:val="num" w:pos="1440"/>
        </w:tabs>
        <w:ind w:left="1440" w:hanging="720"/>
      </w:pPr>
      <w:rPr>
        <w:rFonts w:ascii="Times New Roman" w:hAnsi="Times New Roman" w:cs="Times New Roman"/>
        <w:b w:val="0"/>
        <w:bCs w:val="0"/>
        <w:i w:val="0"/>
        <w:iCs w:val="0"/>
        <w:caps w:val="0"/>
        <w:color w:val="000000"/>
        <w:spacing w:val="0"/>
        <w:sz w:val="20"/>
        <w:szCs w:val="20"/>
        <w:u w:val="none"/>
      </w:rPr>
    </w:lvl>
    <w:lvl w:ilvl="5">
      <w:start w:val="1"/>
      <w:numFmt w:val="lowerLetter"/>
      <w:pStyle w:val="Legal2L6"/>
      <w:lvlText w:val="(%6)"/>
      <w:lvlJc w:val="left"/>
      <w:pPr>
        <w:tabs>
          <w:tab w:val="num" w:pos="2160"/>
        </w:tabs>
        <w:ind w:left="2160" w:hanging="720"/>
      </w:pPr>
      <w:rPr>
        <w:rFonts w:ascii="Times New Roman" w:hAnsi="Times New Roman" w:cs="Times New Roman"/>
        <w:b w:val="0"/>
        <w:bCs w:val="0"/>
        <w:i w:val="0"/>
        <w:iCs w:val="0"/>
        <w:caps w:val="0"/>
        <w:color w:val="000000"/>
        <w:spacing w:val="0"/>
        <w:sz w:val="20"/>
        <w:szCs w:val="20"/>
        <w:u w:val="none"/>
      </w:rPr>
    </w:lvl>
    <w:lvl w:ilvl="6">
      <w:start w:val="1"/>
      <w:numFmt w:val="decimal"/>
      <w:pStyle w:val="Legal2L7"/>
      <w:lvlText w:val="(%7)"/>
      <w:lvlJc w:val="left"/>
      <w:pPr>
        <w:tabs>
          <w:tab w:val="num" w:pos="2160"/>
        </w:tabs>
        <w:ind w:left="2160" w:hanging="720"/>
      </w:pPr>
      <w:rPr>
        <w:rFonts w:ascii="Times New Roman" w:hAnsi="Times New Roman" w:cs="Times New Roman"/>
        <w:b w:val="0"/>
        <w:bCs w:val="0"/>
        <w:i w:val="0"/>
        <w:iCs w:val="0"/>
        <w:caps w:val="0"/>
        <w:color w:val="000000"/>
        <w:spacing w:val="0"/>
        <w:sz w:val="20"/>
        <w:szCs w:val="20"/>
        <w:u w:val="none"/>
      </w:rPr>
    </w:lvl>
    <w:lvl w:ilvl="7">
      <w:start w:val="1"/>
      <w:numFmt w:val="lowerRoman"/>
      <w:pStyle w:val="Legal2L8"/>
      <w:lvlText w:val="(%8)"/>
      <w:lvlJc w:val="left"/>
      <w:pPr>
        <w:tabs>
          <w:tab w:val="num" w:pos="2880"/>
        </w:tabs>
        <w:ind w:left="2880" w:hanging="720"/>
      </w:pPr>
      <w:rPr>
        <w:rFonts w:ascii="Times New Roman" w:hAnsi="Times New Roman" w:cs="Times New Roman"/>
        <w:b w:val="0"/>
        <w:bCs w:val="0"/>
        <w:i w:val="0"/>
        <w:iCs w:val="0"/>
        <w:caps w:val="0"/>
        <w:color w:val="000000"/>
        <w:spacing w:val="0"/>
        <w:sz w:val="20"/>
        <w:szCs w:val="20"/>
        <w:u w:val="none"/>
      </w:rPr>
    </w:lvl>
    <w:lvl w:ilvl="8">
      <w:start w:val="1"/>
      <w:numFmt w:val="lowerRoman"/>
      <w:pStyle w:val="Legal2L9"/>
      <w:lvlText w:val="%9)"/>
      <w:lvlJc w:val="left"/>
      <w:pPr>
        <w:tabs>
          <w:tab w:val="num" w:pos="6480"/>
        </w:tabs>
        <w:ind w:firstLine="5760"/>
      </w:pPr>
      <w:rPr>
        <w:rFonts w:ascii="Times New Roman" w:hAnsi="Times New Roman" w:cs="Times New Roman"/>
        <w:b w:val="0"/>
        <w:bCs w:val="0"/>
        <w:i w:val="0"/>
        <w:iCs w:val="0"/>
        <w:caps w:val="0"/>
        <w:color w:val="000000"/>
        <w:spacing w:val="0"/>
        <w:sz w:val="20"/>
        <w:szCs w:val="20"/>
        <w:u w:val="none"/>
      </w:rPr>
    </w:lvl>
  </w:abstractNum>
  <w:abstractNum w:abstractNumId="7">
    <w:nsid w:val="049B6696"/>
    <w:multiLevelType w:val="singleLevel"/>
    <w:tmpl w:val="AD6C9A82"/>
    <w:lvl w:ilvl="0">
      <w:start w:val="1"/>
      <w:numFmt w:val="decimal"/>
      <w:pStyle w:val="List1"/>
      <w:lvlText w:val="%1."/>
      <w:legacy w:legacy="1" w:legacySpace="0" w:legacyIndent="360"/>
      <w:lvlJc w:val="left"/>
      <w:pPr>
        <w:ind w:left="360" w:hanging="360"/>
      </w:pPr>
      <w:rPr>
        <w:rFonts w:cs="Times New Roman"/>
      </w:rPr>
    </w:lvl>
  </w:abstractNum>
  <w:abstractNum w:abstractNumId="8">
    <w:nsid w:val="05D864A7"/>
    <w:multiLevelType w:val="multilevel"/>
    <w:tmpl w:val="028CF294"/>
    <w:lvl w:ilvl="0">
      <w:start w:val="1"/>
      <w:numFmt w:val="decimal"/>
      <w:lvlRestart w:val="0"/>
      <w:pStyle w:val="TableLevel1Numbered"/>
      <w:lvlText w:val="%1."/>
      <w:lvlJc w:val="left"/>
      <w:pPr>
        <w:tabs>
          <w:tab w:val="num" w:pos="720"/>
        </w:tabs>
        <w:ind w:left="720" w:hanging="504"/>
      </w:pPr>
      <w:rPr>
        <w:rFonts w:ascii="Times New Roman" w:hAnsi="Times New Roman" w:cs="Times New Roman" w:hint="default"/>
        <w:b w:val="0"/>
        <w:i w:val="0"/>
        <w:color w:val="auto"/>
        <w:sz w:val="22"/>
      </w:rPr>
    </w:lvl>
    <w:lvl w:ilvl="1">
      <w:start w:val="1"/>
      <w:numFmt w:val="decimal"/>
      <w:pStyle w:val="TableLevel2Numbered"/>
      <w:lvlText w:val="%1.%2."/>
      <w:lvlJc w:val="left"/>
      <w:pPr>
        <w:tabs>
          <w:tab w:val="num" w:pos="720"/>
        </w:tabs>
        <w:ind w:left="720" w:hanging="504"/>
      </w:pPr>
      <w:rPr>
        <w:rFonts w:ascii="Times New Roman" w:hAnsi="Times New Roman" w:cs="Times New Roman" w:hint="default"/>
        <w:b w:val="0"/>
        <w:i w:val="0"/>
        <w:sz w:val="22"/>
      </w:rPr>
    </w:lvl>
    <w:lvl w:ilvl="2">
      <w:start w:val="1"/>
      <w:numFmt w:val="decimal"/>
      <w:pStyle w:val="TableLevel3Numbered"/>
      <w:lvlText w:val="%1.%2.%3."/>
      <w:lvlJc w:val="left"/>
      <w:pPr>
        <w:tabs>
          <w:tab w:val="num" w:pos="1296"/>
        </w:tabs>
        <w:ind w:left="1296" w:hanging="1080"/>
      </w:pPr>
      <w:rPr>
        <w:rFonts w:ascii="Times New Roman" w:hAnsi="Times New Roman" w:cs="Times New Roman" w:hint="default"/>
        <w:b w:val="0"/>
        <w:i w:val="0"/>
        <w:sz w:val="22"/>
      </w:rPr>
    </w:lvl>
    <w:lvl w:ilvl="3">
      <w:start w:val="1"/>
      <w:numFmt w:val="decimal"/>
      <w:pStyle w:val="TableLevel4Numbered"/>
      <w:lvlText w:val="%1.%2.%3.%4."/>
      <w:lvlJc w:val="left"/>
      <w:pPr>
        <w:tabs>
          <w:tab w:val="num" w:pos="1296"/>
        </w:tabs>
        <w:ind w:left="1296" w:hanging="1080"/>
      </w:pPr>
      <w:rPr>
        <w:rFonts w:ascii="Times New Roman" w:hAnsi="Times New Roman" w:cs="Times New Roman" w:hint="default"/>
        <w:b w:val="0"/>
        <w:i w:val="0"/>
        <w:sz w:val="22"/>
      </w:rPr>
    </w:lvl>
    <w:lvl w:ilvl="4">
      <w:start w:val="1"/>
      <w:numFmt w:val="upperLetter"/>
      <w:pStyle w:val="TableLevel5Numbered"/>
      <w:lvlText w:val="%5."/>
      <w:lvlJc w:val="left"/>
      <w:pPr>
        <w:tabs>
          <w:tab w:val="num" w:pos="1296"/>
        </w:tabs>
        <w:ind w:left="1296" w:hanging="576"/>
      </w:pPr>
      <w:rPr>
        <w:rFonts w:cs="Times New Roman" w:hint="default"/>
      </w:rPr>
    </w:lvl>
    <w:lvl w:ilvl="5">
      <w:start w:val="1"/>
      <w:numFmt w:val="decimal"/>
      <w:pStyle w:val="TableLevel6Numbered"/>
      <w:lvlText w:val="%6."/>
      <w:lvlJc w:val="left"/>
      <w:pPr>
        <w:tabs>
          <w:tab w:val="num" w:pos="1296"/>
        </w:tabs>
        <w:ind w:left="1296" w:hanging="576"/>
      </w:pPr>
      <w:rPr>
        <w:rFonts w:cs="Times New Roman" w:hint="default"/>
      </w:rPr>
    </w:lvl>
    <w:lvl w:ilvl="6">
      <w:start w:val="1"/>
      <w:numFmt w:val="lowerLetter"/>
      <w:pStyle w:val="TableLevel7Numbered"/>
      <w:lvlText w:val="%7."/>
      <w:lvlJc w:val="left"/>
      <w:pPr>
        <w:tabs>
          <w:tab w:val="num" w:pos="1728"/>
        </w:tabs>
        <w:ind w:left="1728" w:hanging="432"/>
      </w:pPr>
      <w:rPr>
        <w:rFonts w:cs="Times New Roman" w:hint="default"/>
      </w:rPr>
    </w:lvl>
    <w:lvl w:ilvl="7">
      <w:start w:val="1"/>
      <w:numFmt w:val="lowerRoman"/>
      <w:pStyle w:val="TableLevel8Numbered"/>
      <w:lvlText w:val="%8.)"/>
      <w:lvlJc w:val="left"/>
      <w:pPr>
        <w:tabs>
          <w:tab w:val="num" w:pos="1728"/>
        </w:tabs>
        <w:ind w:left="1728" w:hanging="432"/>
      </w:pPr>
      <w:rPr>
        <w:rFonts w:cs="Times New Roman" w:hint="default"/>
      </w:rPr>
    </w:lvl>
    <w:lvl w:ilvl="8">
      <w:start w:val="1"/>
      <w:numFmt w:val="none"/>
      <w:lvlText w:val=""/>
      <w:lvlJc w:val="left"/>
      <w:pPr>
        <w:tabs>
          <w:tab w:val="num" w:pos="360"/>
        </w:tabs>
      </w:pPr>
      <w:rPr>
        <w:rFonts w:cs="Times New Roman" w:hint="default"/>
      </w:rPr>
    </w:lvl>
  </w:abstractNum>
  <w:abstractNum w:abstractNumId="9">
    <w:nsid w:val="068D109B"/>
    <w:multiLevelType w:val="hybridMultilevel"/>
    <w:tmpl w:val="9F506A9A"/>
    <w:lvl w:ilvl="0" w:tplc="E404154E">
      <w:start w:val="1"/>
      <w:numFmt w:val="bullet"/>
      <w:pStyle w:val="Bullet1BodyTex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0BD7723D"/>
    <w:multiLevelType w:val="multilevel"/>
    <w:tmpl w:val="4BDC87BC"/>
    <w:lvl w:ilvl="0">
      <w:start w:val="1"/>
      <w:numFmt w:val="decimal"/>
      <w:pStyle w:val="BodyLevel1Numbered"/>
      <w:lvlText w:val="%1."/>
      <w:lvlJc w:val="left"/>
      <w:pPr>
        <w:tabs>
          <w:tab w:val="num" w:pos="1627"/>
        </w:tabs>
        <w:ind w:left="1627" w:hanging="547"/>
      </w:pPr>
      <w:rPr>
        <w:rFonts w:ascii="Times New Roman" w:hAnsi="Times New Roman" w:cs="Times New Roman" w:hint="default"/>
        <w:b w:val="0"/>
        <w:i w:val="0"/>
        <w:color w:val="auto"/>
        <w:sz w:val="22"/>
      </w:rPr>
    </w:lvl>
    <w:lvl w:ilvl="1">
      <w:start w:val="1"/>
      <w:numFmt w:val="decimal"/>
      <w:pStyle w:val="BodyLevel2Numbered"/>
      <w:lvlText w:val="%1.%2."/>
      <w:lvlJc w:val="left"/>
      <w:pPr>
        <w:tabs>
          <w:tab w:val="num" w:pos="2160"/>
        </w:tabs>
        <w:ind w:left="2160" w:hanging="893"/>
      </w:pPr>
      <w:rPr>
        <w:rFonts w:ascii="Times New Roman" w:hAnsi="Times New Roman" w:cs="Times New Roman" w:hint="default"/>
        <w:b w:val="0"/>
        <w:i w:val="0"/>
        <w:sz w:val="22"/>
      </w:rPr>
    </w:lvl>
    <w:lvl w:ilvl="2">
      <w:start w:val="1"/>
      <w:numFmt w:val="decimal"/>
      <w:pStyle w:val="BodyLevel3Numbered"/>
      <w:lvlText w:val="%1.%2.%3."/>
      <w:lvlJc w:val="left"/>
      <w:pPr>
        <w:tabs>
          <w:tab w:val="num" w:pos="2707"/>
        </w:tabs>
        <w:ind w:left="2707" w:hanging="1080"/>
      </w:pPr>
      <w:rPr>
        <w:rFonts w:ascii="Times New Roman" w:hAnsi="Times New Roman" w:cs="Times New Roman" w:hint="default"/>
        <w:b w:val="0"/>
        <w:i w:val="0"/>
        <w:sz w:val="22"/>
      </w:rPr>
    </w:lvl>
    <w:lvl w:ilvl="3">
      <w:start w:val="1"/>
      <w:numFmt w:val="decimal"/>
      <w:pStyle w:val="BodyLevel4Numbered"/>
      <w:lvlText w:val="%1.%2.%3.%4"/>
      <w:lvlJc w:val="left"/>
      <w:pPr>
        <w:tabs>
          <w:tab w:val="num" w:pos="3240"/>
        </w:tabs>
        <w:ind w:left="3240" w:hanging="1613"/>
      </w:pPr>
      <w:rPr>
        <w:rFonts w:ascii="Times New Roman" w:hAnsi="Times New Roman" w:cs="Times New Roman" w:hint="default"/>
        <w:b w:val="0"/>
        <w:i w:val="0"/>
        <w:sz w:val="22"/>
      </w:rPr>
    </w:lvl>
    <w:lvl w:ilvl="4">
      <w:start w:val="1"/>
      <w:numFmt w:val="none"/>
      <w:lvlText w:val=""/>
      <w:lvlJc w:val="left"/>
      <w:pPr>
        <w:tabs>
          <w:tab w:val="num" w:pos="360"/>
        </w:tabs>
      </w:pPr>
      <w:rPr>
        <w:rFonts w:cs="Times New Roman" w:hint="default"/>
      </w:rPr>
    </w:lvl>
    <w:lvl w:ilvl="5">
      <w:start w:val="1"/>
      <w:numFmt w:val="none"/>
      <w:lvlText w:val=""/>
      <w:lvlJc w:val="left"/>
      <w:pPr>
        <w:tabs>
          <w:tab w:val="num" w:pos="360"/>
        </w:tabs>
      </w:pPr>
      <w:rPr>
        <w:rFonts w:cs="Times New Roman" w:hint="default"/>
      </w:rPr>
    </w:lvl>
    <w:lvl w:ilvl="6">
      <w:start w:val="1"/>
      <w:numFmt w:val="none"/>
      <w:lvlText w:val=""/>
      <w:lvlJc w:val="left"/>
      <w:pPr>
        <w:tabs>
          <w:tab w:val="num" w:pos="360"/>
        </w:tabs>
      </w:pPr>
      <w:rPr>
        <w:rFonts w:cs="Times New Roman" w:hint="default"/>
      </w:rPr>
    </w:lvl>
    <w:lvl w:ilvl="7">
      <w:start w:val="1"/>
      <w:numFmt w:val="none"/>
      <w:lvlText w:val=""/>
      <w:lvlJc w:val="left"/>
      <w:pPr>
        <w:tabs>
          <w:tab w:val="num" w:pos="360"/>
        </w:tabs>
      </w:pPr>
      <w:rPr>
        <w:rFonts w:cs="Times New Roman" w:hint="default"/>
      </w:rPr>
    </w:lvl>
    <w:lvl w:ilvl="8">
      <w:start w:val="1"/>
      <w:numFmt w:val="none"/>
      <w:lvlText w:val=""/>
      <w:lvlJc w:val="left"/>
      <w:pPr>
        <w:tabs>
          <w:tab w:val="num" w:pos="360"/>
        </w:tabs>
      </w:pPr>
      <w:rPr>
        <w:rFonts w:cs="Times New Roman" w:hint="default"/>
      </w:rPr>
    </w:lvl>
  </w:abstractNum>
  <w:abstractNum w:abstractNumId="11">
    <w:nsid w:val="0FE44251"/>
    <w:multiLevelType w:val="hybridMultilevel"/>
    <w:tmpl w:val="E084C9F2"/>
    <w:lvl w:ilvl="0" w:tplc="EFC28B4C">
      <w:start w:val="1"/>
      <w:numFmt w:val="bullet"/>
      <w:pStyle w:val="TableLevel3-4Bullet"/>
      <w:lvlText w:val=""/>
      <w:lvlJc w:val="left"/>
      <w:pPr>
        <w:tabs>
          <w:tab w:val="num" w:pos="1800"/>
        </w:tabs>
        <w:ind w:left="1800" w:hanging="360"/>
      </w:pPr>
      <w:rPr>
        <w:rFonts w:ascii="Symbol" w:hAnsi="Symbol" w:hint="default"/>
      </w:rPr>
    </w:lvl>
    <w:lvl w:ilvl="1" w:tplc="04090003" w:tentative="1">
      <w:start w:val="1"/>
      <w:numFmt w:val="bullet"/>
      <w:pStyle w:val="Heading2Draft0"/>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10787498"/>
    <w:multiLevelType w:val="hybridMultilevel"/>
    <w:tmpl w:val="5BF06F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7D878EE"/>
    <w:multiLevelType w:val="hybridMultilevel"/>
    <w:tmpl w:val="ACC447FC"/>
    <w:lvl w:ilvl="0" w:tplc="FFFFFFFF">
      <w:start w:val="1"/>
      <w:numFmt w:val="bullet"/>
      <w:pStyle w:val="AKBullet1"/>
      <w:lvlText w:val=""/>
      <w:lvlJc w:val="left"/>
      <w:pPr>
        <w:tabs>
          <w:tab w:val="num" w:pos="368"/>
        </w:tabs>
        <w:ind w:left="368" w:hanging="360"/>
      </w:pPr>
      <w:rPr>
        <w:rFonts w:ascii="Symbol" w:hAnsi="Symbol" w:hint="default"/>
        <w:color w:val="FF9900"/>
        <w:sz w:val="16"/>
      </w:rPr>
    </w:lvl>
    <w:lvl w:ilvl="1" w:tplc="FFFFFFFF">
      <w:start w:val="1"/>
      <w:numFmt w:val="bullet"/>
      <w:lvlText w:val="o"/>
      <w:lvlJc w:val="left"/>
      <w:pPr>
        <w:tabs>
          <w:tab w:val="num" w:pos="1088"/>
        </w:tabs>
        <w:ind w:left="1088" w:hanging="360"/>
      </w:pPr>
      <w:rPr>
        <w:rFonts w:ascii="Courier New" w:hAnsi="Courier New" w:hint="default"/>
      </w:rPr>
    </w:lvl>
    <w:lvl w:ilvl="2" w:tplc="FFFFFFFF">
      <w:start w:val="1"/>
      <w:numFmt w:val="bullet"/>
      <w:lvlText w:val=""/>
      <w:lvlJc w:val="left"/>
      <w:pPr>
        <w:tabs>
          <w:tab w:val="num" w:pos="1808"/>
        </w:tabs>
        <w:ind w:left="1808" w:hanging="360"/>
      </w:pPr>
      <w:rPr>
        <w:rFonts w:ascii="Wingdings" w:hAnsi="Wingdings" w:hint="default"/>
      </w:rPr>
    </w:lvl>
    <w:lvl w:ilvl="3" w:tplc="FFFFFFFF">
      <w:start w:val="1"/>
      <w:numFmt w:val="bullet"/>
      <w:lvlText w:val=""/>
      <w:lvlJc w:val="left"/>
      <w:pPr>
        <w:tabs>
          <w:tab w:val="num" w:pos="2528"/>
        </w:tabs>
        <w:ind w:left="2528" w:hanging="360"/>
      </w:pPr>
      <w:rPr>
        <w:rFonts w:ascii="Symbol" w:hAnsi="Symbol" w:hint="default"/>
        <w:color w:val="FF9900"/>
        <w:sz w:val="16"/>
      </w:rPr>
    </w:lvl>
    <w:lvl w:ilvl="4" w:tplc="FFFFFFFF" w:tentative="1">
      <w:start w:val="1"/>
      <w:numFmt w:val="bullet"/>
      <w:lvlText w:val="o"/>
      <w:lvlJc w:val="left"/>
      <w:pPr>
        <w:tabs>
          <w:tab w:val="num" w:pos="3248"/>
        </w:tabs>
        <w:ind w:left="3248" w:hanging="360"/>
      </w:pPr>
      <w:rPr>
        <w:rFonts w:ascii="Courier New" w:hAnsi="Courier New" w:hint="default"/>
      </w:rPr>
    </w:lvl>
    <w:lvl w:ilvl="5" w:tplc="FFFFFFFF" w:tentative="1">
      <w:start w:val="1"/>
      <w:numFmt w:val="bullet"/>
      <w:lvlText w:val=""/>
      <w:lvlJc w:val="left"/>
      <w:pPr>
        <w:tabs>
          <w:tab w:val="num" w:pos="3968"/>
        </w:tabs>
        <w:ind w:left="3968" w:hanging="360"/>
      </w:pPr>
      <w:rPr>
        <w:rFonts w:ascii="Wingdings" w:hAnsi="Wingdings" w:hint="default"/>
      </w:rPr>
    </w:lvl>
    <w:lvl w:ilvl="6" w:tplc="FFFFFFFF" w:tentative="1">
      <w:start w:val="1"/>
      <w:numFmt w:val="bullet"/>
      <w:lvlText w:val=""/>
      <w:lvlJc w:val="left"/>
      <w:pPr>
        <w:tabs>
          <w:tab w:val="num" w:pos="4688"/>
        </w:tabs>
        <w:ind w:left="4688" w:hanging="360"/>
      </w:pPr>
      <w:rPr>
        <w:rFonts w:ascii="Symbol" w:hAnsi="Symbol" w:hint="default"/>
      </w:rPr>
    </w:lvl>
    <w:lvl w:ilvl="7" w:tplc="FFFFFFFF" w:tentative="1">
      <w:start w:val="1"/>
      <w:numFmt w:val="bullet"/>
      <w:lvlText w:val="o"/>
      <w:lvlJc w:val="left"/>
      <w:pPr>
        <w:tabs>
          <w:tab w:val="num" w:pos="5408"/>
        </w:tabs>
        <w:ind w:left="5408" w:hanging="360"/>
      </w:pPr>
      <w:rPr>
        <w:rFonts w:ascii="Courier New" w:hAnsi="Courier New" w:hint="default"/>
      </w:rPr>
    </w:lvl>
    <w:lvl w:ilvl="8" w:tplc="FFFFFFFF" w:tentative="1">
      <w:start w:val="1"/>
      <w:numFmt w:val="bullet"/>
      <w:lvlText w:val=""/>
      <w:lvlJc w:val="left"/>
      <w:pPr>
        <w:tabs>
          <w:tab w:val="num" w:pos="6128"/>
        </w:tabs>
        <w:ind w:left="6128" w:hanging="360"/>
      </w:pPr>
      <w:rPr>
        <w:rFonts w:ascii="Wingdings" w:hAnsi="Wingdings" w:hint="default"/>
      </w:rPr>
    </w:lvl>
  </w:abstractNum>
  <w:abstractNum w:abstractNumId="14">
    <w:nsid w:val="19E220C2"/>
    <w:multiLevelType w:val="hybridMultilevel"/>
    <w:tmpl w:val="AFF6DE38"/>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
    <w:nsid w:val="1C7C7609"/>
    <w:multiLevelType w:val="multilevel"/>
    <w:tmpl w:val="CBEA84C4"/>
    <w:lvl w:ilvl="0">
      <w:start w:val="1"/>
      <w:numFmt w:val="upperLetter"/>
      <w:pStyle w:val="Heading1Numbered"/>
      <w:lvlText w:val="%1.0"/>
      <w:lvlJc w:val="left"/>
      <w:pPr>
        <w:ind w:left="360" w:hanging="360"/>
      </w:pPr>
      <w:rPr>
        <w:rFonts w:cs="Times New Roman" w:hint="default"/>
        <w:b/>
        <w:i w:val="0"/>
        <w:sz w:val="28"/>
      </w:rPr>
    </w:lvl>
    <w:lvl w:ilvl="1">
      <w:start w:val="1"/>
      <w:numFmt w:val="upperLetter"/>
      <w:lvlText w:val="%2."/>
      <w:lvlJc w:val="left"/>
      <w:pPr>
        <w:tabs>
          <w:tab w:val="num" w:pos="810"/>
        </w:tabs>
        <w:ind w:left="810" w:hanging="720"/>
      </w:pPr>
      <w:rPr>
        <w:rFonts w:hint="default"/>
        <w:b/>
        <w:i w:val="0"/>
        <w:sz w:val="28"/>
      </w:rPr>
    </w:lvl>
    <w:lvl w:ilvl="2">
      <w:start w:val="1"/>
      <w:numFmt w:val="decimal"/>
      <w:lvlText w:val="%1.%2.%3"/>
      <w:lvlJc w:val="left"/>
      <w:pPr>
        <w:tabs>
          <w:tab w:val="num" w:pos="1080"/>
        </w:tabs>
        <w:ind w:left="1080" w:hanging="1080"/>
      </w:pPr>
      <w:rPr>
        <w:rFonts w:ascii="Times New Roman" w:hAnsi="Times New Roman" w:cs="Times New Roman" w:hint="default"/>
        <w:b/>
        <w:i w:val="0"/>
        <w:sz w:val="24"/>
      </w:rPr>
    </w:lvl>
    <w:lvl w:ilvl="3">
      <w:start w:val="1"/>
      <w:numFmt w:val="decimal"/>
      <w:pStyle w:val="Heading4Numbered"/>
      <w:lvlText w:val="%1.%2.%3.%4"/>
      <w:lvlJc w:val="left"/>
      <w:pPr>
        <w:tabs>
          <w:tab w:val="num" w:pos="1296"/>
        </w:tabs>
        <w:ind w:left="1296" w:hanging="1296"/>
      </w:pPr>
      <w:rPr>
        <w:rFonts w:ascii="Times New Roman Bold" w:hAnsi="Times New Roman Bold" w:cs="Times New Roman" w:hint="default"/>
        <w:b/>
        <w:i w:val="0"/>
        <w:sz w:val="24"/>
      </w:rPr>
    </w:lvl>
    <w:lvl w:ilvl="4">
      <w:start w:val="1"/>
      <w:numFmt w:val="decimal"/>
      <w:lvlRestart w:val="0"/>
      <w:pStyle w:val="Heading5Numbered"/>
      <w:lvlText w:val="%1.%2.%3.%4.%5"/>
      <w:lvlJc w:val="left"/>
      <w:pPr>
        <w:tabs>
          <w:tab w:val="num" w:pos="720"/>
        </w:tabs>
        <w:ind w:left="720" w:hanging="720"/>
      </w:pPr>
      <w:rPr>
        <w:rFonts w:ascii="Times New Roman Bold" w:hAnsi="Times New Roman Bold" w:cs="Times New Roman" w:hint="default"/>
        <w:b/>
        <w:i w:val="0"/>
        <w:sz w:val="22"/>
        <w:szCs w:val="22"/>
      </w:rPr>
    </w:lvl>
    <w:lvl w:ilvl="5">
      <w:start w:val="1"/>
      <w:numFmt w:val="none"/>
      <w:lvlText w:val=""/>
      <w:lvlJc w:val="left"/>
      <w:pPr>
        <w:tabs>
          <w:tab w:val="num" w:pos="720"/>
        </w:tabs>
        <w:ind w:left="720" w:hanging="720"/>
      </w:pPr>
      <w:rPr>
        <w:rFonts w:ascii="Times New Roman" w:hAnsi="Times New Roman" w:cs="Times New Roman" w:hint="default"/>
        <w:b w:val="0"/>
        <w:i w:val="0"/>
        <w:sz w:val="22"/>
      </w:rPr>
    </w:lvl>
    <w:lvl w:ilvl="6">
      <w:start w:val="1"/>
      <w:numFmt w:val="none"/>
      <w:lvlText w:val=""/>
      <w:lvlJc w:val="left"/>
      <w:pPr>
        <w:tabs>
          <w:tab w:val="num" w:pos="720"/>
        </w:tabs>
        <w:ind w:left="720" w:hanging="720"/>
      </w:pPr>
      <w:rPr>
        <w:rFonts w:ascii="Times New Roman" w:hAnsi="Times New Roman" w:cs="Times New Roman" w:hint="default"/>
        <w:b w:val="0"/>
        <w:i w:val="0"/>
        <w:sz w:val="22"/>
      </w:rPr>
    </w:lvl>
    <w:lvl w:ilvl="7">
      <w:start w:val="1"/>
      <w:numFmt w:val="none"/>
      <w:lvlText w:val=""/>
      <w:lvlJc w:val="left"/>
      <w:pPr>
        <w:tabs>
          <w:tab w:val="num" w:pos="720"/>
        </w:tabs>
        <w:ind w:left="720" w:hanging="720"/>
      </w:pPr>
      <w:rPr>
        <w:rFonts w:ascii="Times New Roman" w:hAnsi="Times New Roman" w:cs="Times New Roman" w:hint="default"/>
        <w:b w:val="0"/>
        <w:i w:val="0"/>
        <w:sz w:val="22"/>
      </w:rPr>
    </w:lvl>
    <w:lvl w:ilvl="8">
      <w:start w:val="1"/>
      <w:numFmt w:val="none"/>
      <w:lvlText w:val="%8"/>
      <w:lvlJc w:val="left"/>
      <w:pPr>
        <w:tabs>
          <w:tab w:val="num" w:pos="4320"/>
        </w:tabs>
        <w:ind w:left="4320" w:hanging="1440"/>
      </w:pPr>
      <w:rPr>
        <w:rFonts w:cs="Times New Roman" w:hint="default"/>
      </w:rPr>
    </w:lvl>
  </w:abstractNum>
  <w:abstractNum w:abstractNumId="16">
    <w:nsid w:val="275C1DA0"/>
    <w:multiLevelType w:val="hybridMultilevel"/>
    <w:tmpl w:val="3E521AD8"/>
    <w:lvl w:ilvl="0" w:tplc="35FC64FA">
      <w:start w:val="1"/>
      <w:numFmt w:val="bullet"/>
      <w:pStyle w:val="BodyTextBulletL2"/>
      <w:lvlText w:val=""/>
      <w:lvlJc w:val="left"/>
      <w:pPr>
        <w:tabs>
          <w:tab w:val="num" w:pos="2707"/>
        </w:tabs>
        <w:ind w:left="2707" w:hanging="54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2DE85EC9"/>
    <w:multiLevelType w:val="hybridMultilevel"/>
    <w:tmpl w:val="30884A02"/>
    <w:lvl w:ilvl="0" w:tplc="6192A4F0">
      <w:start w:val="1"/>
      <w:numFmt w:val="lowerLetter"/>
      <w:lvlText w:val="(%1)"/>
      <w:lvlJc w:val="left"/>
      <w:pPr>
        <w:ind w:left="825" w:hanging="46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0B07B0F"/>
    <w:multiLevelType w:val="multilevel"/>
    <w:tmpl w:val="E75EBC8A"/>
    <w:lvl w:ilvl="0">
      <w:start w:val="1"/>
      <w:numFmt w:val="decimal"/>
      <w:lvlText w:val="%1."/>
      <w:lvlJc w:val="left"/>
      <w:pPr>
        <w:tabs>
          <w:tab w:val="num" w:pos="720"/>
        </w:tabs>
        <w:ind w:left="720" w:hanging="720"/>
      </w:pPr>
      <w:rPr>
        <w:rFonts w:cs="Times New Roman" w:hint="default"/>
        <w:b/>
        <w:bCs/>
      </w:rPr>
    </w:lvl>
    <w:lvl w:ilvl="1">
      <w:start w:val="1"/>
      <w:numFmt w:val="lowerLetter"/>
      <w:lvlText w:val="(%2)"/>
      <w:lvlJc w:val="left"/>
      <w:pPr>
        <w:tabs>
          <w:tab w:val="num" w:pos="1440"/>
        </w:tabs>
        <w:ind w:left="1440" w:hanging="720"/>
      </w:pPr>
      <w:rPr>
        <w:rFonts w:cs="Times New Roman" w:hint="default"/>
        <w:b w:val="0"/>
        <w:bCs w:val="0"/>
        <w:i w:val="0"/>
        <w:iCs w:val="0"/>
      </w:rPr>
    </w:lvl>
    <w:lvl w:ilvl="2">
      <w:start w:val="1"/>
      <w:numFmt w:val="decimal"/>
      <w:lvlText w:val="(%3)"/>
      <w:lvlJc w:val="left"/>
      <w:pPr>
        <w:tabs>
          <w:tab w:val="num" w:pos="2160"/>
        </w:tabs>
        <w:ind w:left="2160" w:hanging="720"/>
      </w:pPr>
      <w:rPr>
        <w:rFonts w:ascii="Times New Roman" w:hAnsi="Times New Roman" w:cs="Times New Roman" w:hint="default"/>
        <w:b w:val="0"/>
        <w:bCs w:val="0"/>
        <w:i w:val="0"/>
        <w:iCs w:val="0"/>
      </w:rPr>
    </w:lvl>
    <w:lvl w:ilvl="3">
      <w:start w:val="1"/>
      <w:numFmt w:val="lowerRoman"/>
      <w:lvlText w:val="(%4)"/>
      <w:lvlJc w:val="left"/>
      <w:pPr>
        <w:tabs>
          <w:tab w:val="num" w:pos="2880"/>
        </w:tabs>
        <w:ind w:left="2880" w:hanging="72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19">
    <w:nsid w:val="34B41E48"/>
    <w:multiLevelType w:val="multilevel"/>
    <w:tmpl w:val="6F5808B8"/>
    <w:lvl w:ilvl="0">
      <w:start w:val="1"/>
      <w:numFmt w:val="decimal"/>
      <w:pStyle w:val="Head1-NoTOC"/>
      <w:lvlText w:val="%1.0"/>
      <w:lvlJc w:val="left"/>
      <w:pPr>
        <w:tabs>
          <w:tab w:val="num" w:pos="720"/>
        </w:tabs>
        <w:ind w:left="720" w:hanging="720"/>
      </w:pPr>
      <w:rPr>
        <w:rFonts w:ascii="Times New Roman Bold" w:hAnsi="Times New Roman Bold" w:cs="Times New Roman" w:hint="default"/>
        <w:b/>
        <w:i w:val="0"/>
        <w:sz w:val="28"/>
      </w:rPr>
    </w:lvl>
    <w:lvl w:ilvl="1">
      <w:start w:val="1"/>
      <w:numFmt w:val="decimal"/>
      <w:lvlText w:val="%1.%2"/>
      <w:lvlJc w:val="left"/>
      <w:pPr>
        <w:tabs>
          <w:tab w:val="num" w:pos="720"/>
        </w:tabs>
        <w:ind w:left="720" w:hanging="720"/>
      </w:pPr>
      <w:rPr>
        <w:rFonts w:ascii="Times New Roman Bold" w:hAnsi="Times New Roman Bold" w:cs="Times New Roman" w:hint="default"/>
        <w:b/>
        <w:i w:val="0"/>
        <w:sz w:val="28"/>
      </w:rPr>
    </w:lvl>
    <w:lvl w:ilvl="2">
      <w:start w:val="1"/>
      <w:numFmt w:val="decimal"/>
      <w:pStyle w:val="Head3-NoTOC"/>
      <w:lvlText w:val="%1.%2.%3"/>
      <w:lvlJc w:val="left"/>
      <w:pPr>
        <w:tabs>
          <w:tab w:val="num" w:pos="1080"/>
        </w:tabs>
        <w:ind w:left="1080" w:hanging="1080"/>
      </w:pPr>
      <w:rPr>
        <w:rFonts w:ascii="Times New Roman" w:hAnsi="Times New Roman" w:cs="Times New Roman" w:hint="default"/>
        <w:b/>
        <w:i w:val="0"/>
        <w:sz w:val="24"/>
      </w:rPr>
    </w:lvl>
    <w:lvl w:ilvl="3">
      <w:start w:val="1"/>
      <w:numFmt w:val="decimal"/>
      <w:pStyle w:val="Head4-NoTOC"/>
      <w:lvlText w:val="%1.%2.%3.%4"/>
      <w:lvlJc w:val="left"/>
      <w:pPr>
        <w:tabs>
          <w:tab w:val="num" w:pos="1296"/>
        </w:tabs>
        <w:ind w:left="1296" w:hanging="1296"/>
      </w:pPr>
      <w:rPr>
        <w:rFonts w:ascii="Times New Roman Bold" w:hAnsi="Times New Roman Bold" w:cs="Times New Roman" w:hint="default"/>
        <w:b/>
        <w:i w:val="0"/>
        <w:sz w:val="24"/>
      </w:rPr>
    </w:lvl>
    <w:lvl w:ilvl="4">
      <w:start w:val="1"/>
      <w:numFmt w:val="none"/>
      <w:lvlRestart w:val="0"/>
      <w:lvlText w:val=""/>
      <w:lvlJc w:val="left"/>
      <w:pPr>
        <w:tabs>
          <w:tab w:val="num" w:pos="720"/>
        </w:tabs>
        <w:ind w:left="720" w:hanging="720"/>
      </w:pPr>
      <w:rPr>
        <w:rFonts w:ascii="Times New Roman" w:hAnsi="Times New Roman" w:cs="Times New Roman" w:hint="default"/>
        <w:b w:val="0"/>
        <w:i w:val="0"/>
        <w:sz w:val="22"/>
      </w:rPr>
    </w:lvl>
    <w:lvl w:ilvl="5">
      <w:start w:val="1"/>
      <w:numFmt w:val="none"/>
      <w:lvlText w:val=""/>
      <w:lvlJc w:val="left"/>
      <w:pPr>
        <w:tabs>
          <w:tab w:val="num" w:pos="720"/>
        </w:tabs>
        <w:ind w:left="720" w:hanging="720"/>
      </w:pPr>
      <w:rPr>
        <w:rFonts w:ascii="Times New Roman" w:hAnsi="Times New Roman" w:cs="Times New Roman" w:hint="default"/>
        <w:b w:val="0"/>
        <w:i w:val="0"/>
        <w:sz w:val="22"/>
      </w:rPr>
    </w:lvl>
    <w:lvl w:ilvl="6">
      <w:start w:val="1"/>
      <w:numFmt w:val="none"/>
      <w:lvlText w:val=""/>
      <w:lvlJc w:val="left"/>
      <w:pPr>
        <w:tabs>
          <w:tab w:val="num" w:pos="720"/>
        </w:tabs>
        <w:ind w:left="720" w:hanging="720"/>
      </w:pPr>
      <w:rPr>
        <w:rFonts w:ascii="Times New Roman" w:hAnsi="Times New Roman" w:cs="Times New Roman" w:hint="default"/>
        <w:b w:val="0"/>
        <w:i w:val="0"/>
        <w:sz w:val="22"/>
      </w:rPr>
    </w:lvl>
    <w:lvl w:ilvl="7">
      <w:start w:val="1"/>
      <w:numFmt w:val="none"/>
      <w:lvlText w:val=""/>
      <w:lvlJc w:val="left"/>
      <w:pPr>
        <w:tabs>
          <w:tab w:val="num" w:pos="720"/>
        </w:tabs>
        <w:ind w:left="720" w:hanging="720"/>
      </w:pPr>
      <w:rPr>
        <w:rFonts w:ascii="Times New Roman" w:hAnsi="Times New Roman" w:cs="Times New Roman" w:hint="default"/>
        <w:b w:val="0"/>
        <w:i w:val="0"/>
        <w:sz w:val="22"/>
      </w:rPr>
    </w:lvl>
    <w:lvl w:ilvl="8">
      <w:start w:val="1"/>
      <w:numFmt w:val="none"/>
      <w:lvlText w:val="%8"/>
      <w:lvlJc w:val="left"/>
      <w:pPr>
        <w:tabs>
          <w:tab w:val="num" w:pos="4320"/>
        </w:tabs>
        <w:ind w:left="4320" w:hanging="1440"/>
      </w:pPr>
      <w:rPr>
        <w:rFonts w:cs="Times New Roman" w:hint="default"/>
      </w:rPr>
    </w:lvl>
  </w:abstractNum>
  <w:abstractNum w:abstractNumId="20">
    <w:nsid w:val="35C04937"/>
    <w:multiLevelType w:val="hybridMultilevel"/>
    <w:tmpl w:val="6F70A7F4"/>
    <w:lvl w:ilvl="0" w:tplc="2DBA9C38">
      <w:start w:val="1"/>
      <w:numFmt w:val="bullet"/>
      <w:pStyle w:val="TableTextBullet"/>
      <w:lvlText w:val=""/>
      <w:lvlJc w:val="left"/>
      <w:pPr>
        <w:tabs>
          <w:tab w:val="num" w:pos="720"/>
        </w:tabs>
        <w:ind w:left="720" w:hanging="360"/>
      </w:pPr>
      <w:rPr>
        <w:rFonts w:ascii="Symbol" w:hAnsi="Symbol" w:hint="default"/>
      </w:rPr>
    </w:lvl>
    <w:lvl w:ilvl="1" w:tplc="B72464D0" w:tentative="1">
      <w:start w:val="1"/>
      <w:numFmt w:val="bullet"/>
      <w:lvlText w:val="o"/>
      <w:lvlJc w:val="left"/>
      <w:pPr>
        <w:tabs>
          <w:tab w:val="num" w:pos="1440"/>
        </w:tabs>
        <w:ind w:left="1440" w:hanging="360"/>
      </w:pPr>
      <w:rPr>
        <w:rFonts w:ascii="Courier New" w:hAnsi="Courier New" w:hint="default"/>
      </w:rPr>
    </w:lvl>
    <w:lvl w:ilvl="2" w:tplc="DAFC6F30" w:tentative="1">
      <w:start w:val="1"/>
      <w:numFmt w:val="bullet"/>
      <w:lvlText w:val=""/>
      <w:lvlJc w:val="left"/>
      <w:pPr>
        <w:tabs>
          <w:tab w:val="num" w:pos="2160"/>
        </w:tabs>
        <w:ind w:left="2160" w:hanging="360"/>
      </w:pPr>
      <w:rPr>
        <w:rFonts w:ascii="Wingdings" w:hAnsi="Wingdings" w:hint="default"/>
      </w:rPr>
    </w:lvl>
    <w:lvl w:ilvl="3" w:tplc="FEB89CDA" w:tentative="1">
      <w:start w:val="1"/>
      <w:numFmt w:val="bullet"/>
      <w:lvlText w:val=""/>
      <w:lvlJc w:val="left"/>
      <w:pPr>
        <w:tabs>
          <w:tab w:val="num" w:pos="2880"/>
        </w:tabs>
        <w:ind w:left="2880" w:hanging="360"/>
      </w:pPr>
      <w:rPr>
        <w:rFonts w:ascii="Symbol" w:hAnsi="Symbol" w:hint="default"/>
      </w:rPr>
    </w:lvl>
    <w:lvl w:ilvl="4" w:tplc="E63C48D2" w:tentative="1">
      <w:start w:val="1"/>
      <w:numFmt w:val="bullet"/>
      <w:lvlText w:val="o"/>
      <w:lvlJc w:val="left"/>
      <w:pPr>
        <w:tabs>
          <w:tab w:val="num" w:pos="3600"/>
        </w:tabs>
        <w:ind w:left="3600" w:hanging="360"/>
      </w:pPr>
      <w:rPr>
        <w:rFonts w:ascii="Courier New" w:hAnsi="Courier New" w:hint="default"/>
      </w:rPr>
    </w:lvl>
    <w:lvl w:ilvl="5" w:tplc="175EE780" w:tentative="1">
      <w:start w:val="1"/>
      <w:numFmt w:val="bullet"/>
      <w:lvlText w:val=""/>
      <w:lvlJc w:val="left"/>
      <w:pPr>
        <w:tabs>
          <w:tab w:val="num" w:pos="4320"/>
        </w:tabs>
        <w:ind w:left="4320" w:hanging="360"/>
      </w:pPr>
      <w:rPr>
        <w:rFonts w:ascii="Wingdings" w:hAnsi="Wingdings" w:hint="default"/>
      </w:rPr>
    </w:lvl>
    <w:lvl w:ilvl="6" w:tplc="C79C5138" w:tentative="1">
      <w:start w:val="1"/>
      <w:numFmt w:val="bullet"/>
      <w:lvlText w:val=""/>
      <w:lvlJc w:val="left"/>
      <w:pPr>
        <w:tabs>
          <w:tab w:val="num" w:pos="5040"/>
        </w:tabs>
        <w:ind w:left="5040" w:hanging="360"/>
      </w:pPr>
      <w:rPr>
        <w:rFonts w:ascii="Symbol" w:hAnsi="Symbol" w:hint="default"/>
      </w:rPr>
    </w:lvl>
    <w:lvl w:ilvl="7" w:tplc="21B0B580" w:tentative="1">
      <w:start w:val="1"/>
      <w:numFmt w:val="bullet"/>
      <w:lvlText w:val="o"/>
      <w:lvlJc w:val="left"/>
      <w:pPr>
        <w:tabs>
          <w:tab w:val="num" w:pos="5760"/>
        </w:tabs>
        <w:ind w:left="5760" w:hanging="360"/>
      </w:pPr>
      <w:rPr>
        <w:rFonts w:ascii="Courier New" w:hAnsi="Courier New" w:hint="default"/>
      </w:rPr>
    </w:lvl>
    <w:lvl w:ilvl="8" w:tplc="9FE809CE" w:tentative="1">
      <w:start w:val="1"/>
      <w:numFmt w:val="bullet"/>
      <w:lvlText w:val=""/>
      <w:lvlJc w:val="left"/>
      <w:pPr>
        <w:tabs>
          <w:tab w:val="num" w:pos="6480"/>
        </w:tabs>
        <w:ind w:left="6480" w:hanging="360"/>
      </w:pPr>
      <w:rPr>
        <w:rFonts w:ascii="Wingdings" w:hAnsi="Wingdings" w:hint="default"/>
      </w:rPr>
    </w:lvl>
  </w:abstractNum>
  <w:abstractNum w:abstractNumId="21">
    <w:nsid w:val="39A41137"/>
    <w:multiLevelType w:val="hybridMultilevel"/>
    <w:tmpl w:val="CC986B46"/>
    <w:lvl w:ilvl="0" w:tplc="0E4E0D02">
      <w:start w:val="1"/>
      <w:numFmt w:val="bullet"/>
      <w:pStyle w:val="TableLevel1-2Bullet"/>
      <w:lvlText w:val=""/>
      <w:lvlJc w:val="left"/>
      <w:pPr>
        <w:tabs>
          <w:tab w:val="num" w:pos="1440"/>
        </w:tabs>
        <w:ind w:left="1440" w:hanging="360"/>
      </w:pPr>
      <w:rPr>
        <w:rFonts w:ascii="Symbol" w:hAnsi="Symbol" w:hint="default"/>
      </w:rPr>
    </w:lvl>
    <w:lvl w:ilvl="1" w:tplc="5BE0144C" w:tentative="1">
      <w:start w:val="1"/>
      <w:numFmt w:val="bullet"/>
      <w:lvlText w:val="o"/>
      <w:lvlJc w:val="left"/>
      <w:pPr>
        <w:tabs>
          <w:tab w:val="num" w:pos="1440"/>
        </w:tabs>
        <w:ind w:left="1440" w:hanging="360"/>
      </w:pPr>
      <w:rPr>
        <w:rFonts w:ascii="Courier New" w:hAnsi="Courier New" w:hint="default"/>
      </w:rPr>
    </w:lvl>
    <w:lvl w:ilvl="2" w:tplc="0902E1BE" w:tentative="1">
      <w:start w:val="1"/>
      <w:numFmt w:val="bullet"/>
      <w:lvlText w:val=""/>
      <w:lvlJc w:val="left"/>
      <w:pPr>
        <w:tabs>
          <w:tab w:val="num" w:pos="2160"/>
        </w:tabs>
        <w:ind w:left="2160" w:hanging="360"/>
      </w:pPr>
      <w:rPr>
        <w:rFonts w:ascii="Wingdings" w:hAnsi="Wingdings" w:hint="default"/>
      </w:rPr>
    </w:lvl>
    <w:lvl w:ilvl="3" w:tplc="EDACA15E" w:tentative="1">
      <w:start w:val="1"/>
      <w:numFmt w:val="bullet"/>
      <w:lvlText w:val=""/>
      <w:lvlJc w:val="left"/>
      <w:pPr>
        <w:tabs>
          <w:tab w:val="num" w:pos="2880"/>
        </w:tabs>
        <w:ind w:left="2880" w:hanging="360"/>
      </w:pPr>
      <w:rPr>
        <w:rFonts w:ascii="Symbol" w:hAnsi="Symbol" w:hint="default"/>
      </w:rPr>
    </w:lvl>
    <w:lvl w:ilvl="4" w:tplc="0D747D04" w:tentative="1">
      <w:start w:val="1"/>
      <w:numFmt w:val="bullet"/>
      <w:lvlText w:val="o"/>
      <w:lvlJc w:val="left"/>
      <w:pPr>
        <w:tabs>
          <w:tab w:val="num" w:pos="3600"/>
        </w:tabs>
        <w:ind w:left="3600" w:hanging="360"/>
      </w:pPr>
      <w:rPr>
        <w:rFonts w:ascii="Courier New" w:hAnsi="Courier New" w:hint="default"/>
      </w:rPr>
    </w:lvl>
    <w:lvl w:ilvl="5" w:tplc="93C443F8" w:tentative="1">
      <w:start w:val="1"/>
      <w:numFmt w:val="bullet"/>
      <w:lvlText w:val=""/>
      <w:lvlJc w:val="left"/>
      <w:pPr>
        <w:tabs>
          <w:tab w:val="num" w:pos="4320"/>
        </w:tabs>
        <w:ind w:left="4320" w:hanging="360"/>
      </w:pPr>
      <w:rPr>
        <w:rFonts w:ascii="Wingdings" w:hAnsi="Wingdings" w:hint="default"/>
      </w:rPr>
    </w:lvl>
    <w:lvl w:ilvl="6" w:tplc="1780FA62" w:tentative="1">
      <w:start w:val="1"/>
      <w:numFmt w:val="bullet"/>
      <w:lvlText w:val=""/>
      <w:lvlJc w:val="left"/>
      <w:pPr>
        <w:tabs>
          <w:tab w:val="num" w:pos="5040"/>
        </w:tabs>
        <w:ind w:left="5040" w:hanging="360"/>
      </w:pPr>
      <w:rPr>
        <w:rFonts w:ascii="Symbol" w:hAnsi="Symbol" w:hint="default"/>
      </w:rPr>
    </w:lvl>
    <w:lvl w:ilvl="7" w:tplc="4D02A172" w:tentative="1">
      <w:start w:val="1"/>
      <w:numFmt w:val="bullet"/>
      <w:lvlText w:val="o"/>
      <w:lvlJc w:val="left"/>
      <w:pPr>
        <w:tabs>
          <w:tab w:val="num" w:pos="5760"/>
        </w:tabs>
        <w:ind w:left="5760" w:hanging="360"/>
      </w:pPr>
      <w:rPr>
        <w:rFonts w:ascii="Courier New" w:hAnsi="Courier New" w:hint="default"/>
      </w:rPr>
    </w:lvl>
    <w:lvl w:ilvl="8" w:tplc="16CCE788" w:tentative="1">
      <w:start w:val="1"/>
      <w:numFmt w:val="bullet"/>
      <w:lvlText w:val=""/>
      <w:lvlJc w:val="left"/>
      <w:pPr>
        <w:tabs>
          <w:tab w:val="num" w:pos="6480"/>
        </w:tabs>
        <w:ind w:left="6480" w:hanging="360"/>
      </w:pPr>
      <w:rPr>
        <w:rFonts w:ascii="Wingdings" w:hAnsi="Wingdings" w:hint="default"/>
      </w:rPr>
    </w:lvl>
  </w:abstractNum>
  <w:abstractNum w:abstractNumId="22">
    <w:nsid w:val="3AEC216D"/>
    <w:multiLevelType w:val="hybridMultilevel"/>
    <w:tmpl w:val="3170000C"/>
    <w:lvl w:ilvl="0" w:tplc="E376DCA4">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43C7B07"/>
    <w:multiLevelType w:val="hybridMultilevel"/>
    <w:tmpl w:val="9E0A4B72"/>
    <w:lvl w:ilvl="0" w:tplc="E1B460C8">
      <w:start w:val="1"/>
      <w:numFmt w:val="bullet"/>
      <w:pStyle w:val="BodyTextBullet"/>
      <w:lvlText w:val=""/>
      <w:lvlJc w:val="left"/>
      <w:pPr>
        <w:tabs>
          <w:tab w:val="num" w:pos="1627"/>
        </w:tabs>
        <w:ind w:left="1627" w:hanging="54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485F27BB"/>
    <w:multiLevelType w:val="hybridMultilevel"/>
    <w:tmpl w:val="EB1ADB84"/>
    <w:lvl w:ilvl="0" w:tplc="04090001">
      <w:start w:val="1"/>
      <w:numFmt w:val="bullet"/>
      <w:pStyle w:val="Bullet1"/>
      <w:lvlText w:val=""/>
      <w:lvlJc w:val="left"/>
      <w:pPr>
        <w:tabs>
          <w:tab w:val="num" w:pos="720"/>
        </w:tabs>
        <w:ind w:left="720" w:hanging="360"/>
      </w:pPr>
      <w:rPr>
        <w:rFonts w:ascii="Wingdings" w:hAnsi="Wingdings" w:hint="default"/>
        <w:color w:val="000000"/>
        <w:sz w:val="22"/>
      </w:rPr>
    </w:lvl>
    <w:lvl w:ilvl="1" w:tplc="04090003">
      <w:start w:val="1"/>
      <w:numFmt w:val="bullet"/>
      <w:lvlText w:val=""/>
      <w:lvlJc w:val="left"/>
      <w:pPr>
        <w:tabs>
          <w:tab w:val="num" w:pos="1440"/>
        </w:tabs>
        <w:ind w:left="1440" w:hanging="360"/>
      </w:pPr>
      <w:rPr>
        <w:rFonts w:ascii="Wingdings" w:hAnsi="Wingdings" w:hint="default"/>
        <w:color w:val="5381AA"/>
        <w:sz w:val="22"/>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4E864073"/>
    <w:multiLevelType w:val="hybridMultilevel"/>
    <w:tmpl w:val="62FCC7C4"/>
    <w:lvl w:ilvl="0" w:tplc="A8122D98">
      <w:start w:val="1"/>
      <w:numFmt w:val="decimal"/>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26">
    <w:nsid w:val="52DB662E"/>
    <w:multiLevelType w:val="hybridMultilevel"/>
    <w:tmpl w:val="86D4E316"/>
    <w:lvl w:ilvl="0" w:tplc="35FC64FA">
      <w:start w:val="1"/>
      <w:numFmt w:val="bullet"/>
      <w:pStyle w:val="BodyTextBulletL1"/>
      <w:lvlText w:val=""/>
      <w:lvlJc w:val="left"/>
      <w:pPr>
        <w:tabs>
          <w:tab w:val="num" w:pos="2160"/>
        </w:tabs>
        <w:ind w:left="2160" w:hanging="533"/>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56390E0E"/>
    <w:multiLevelType w:val="multilevel"/>
    <w:tmpl w:val="FE768B56"/>
    <w:styleLink w:val="CurrentList1"/>
    <w:lvl w:ilvl="0">
      <w:start w:val="1"/>
      <w:numFmt w:val="decimal"/>
      <w:isLgl/>
      <w:lvlText w:val="%1.0"/>
      <w:lvlJc w:val="left"/>
      <w:pPr>
        <w:tabs>
          <w:tab w:val="num" w:pos="0"/>
        </w:tabs>
      </w:pPr>
      <w:rPr>
        <w:rFonts w:ascii="Times New Roman Bold" w:hAnsi="Times New Roman Bold" w:cs="Times New Roman" w:hint="default"/>
        <w:b/>
        <w:i w:val="0"/>
        <w:color w:val="auto"/>
        <w:sz w:val="28"/>
        <w:szCs w:val="28"/>
      </w:rPr>
    </w:lvl>
    <w:lvl w:ilvl="1">
      <w:start w:val="1"/>
      <w:numFmt w:val="decimal"/>
      <w:lvlText w:val="%1.%2."/>
      <w:lvlJc w:val="left"/>
      <w:pPr>
        <w:tabs>
          <w:tab w:val="num" w:pos="288"/>
        </w:tabs>
        <w:ind w:left="288" w:hanging="619"/>
      </w:pPr>
      <w:rPr>
        <w:rFonts w:ascii="Times New Roman" w:hAnsi="Times New Roman" w:cs="Times New Roman" w:hint="default"/>
        <w:b w:val="0"/>
        <w:i w:val="0"/>
        <w:sz w:val="22"/>
      </w:rPr>
    </w:lvl>
    <w:lvl w:ilvl="2">
      <w:start w:val="1"/>
      <w:numFmt w:val="decimal"/>
      <w:lvlText w:val="%1.%2.%3."/>
      <w:lvlJc w:val="left"/>
      <w:pPr>
        <w:tabs>
          <w:tab w:val="num" w:pos="576"/>
        </w:tabs>
        <w:ind w:left="576" w:hanging="878"/>
      </w:pPr>
      <w:rPr>
        <w:rFonts w:ascii="Times New Roman" w:hAnsi="Times New Roman" w:cs="Times New Roman" w:hint="default"/>
        <w:b w:val="0"/>
        <w:i w:val="0"/>
        <w:sz w:val="22"/>
      </w:rPr>
    </w:lvl>
    <w:lvl w:ilvl="3">
      <w:start w:val="1"/>
      <w:numFmt w:val="decimal"/>
      <w:lvlText w:val="%1.%2.%3.%4."/>
      <w:lvlJc w:val="left"/>
      <w:pPr>
        <w:tabs>
          <w:tab w:val="num" w:pos="720"/>
        </w:tabs>
        <w:ind w:left="720" w:hanging="994"/>
      </w:pPr>
      <w:rPr>
        <w:rFonts w:ascii="Times New Roman" w:hAnsi="Times New Roman" w:cs="Times New Roman" w:hint="default"/>
        <w:b w:val="0"/>
        <w:i w:val="0"/>
        <w:sz w:val="22"/>
      </w:rPr>
    </w:lvl>
    <w:lvl w:ilvl="4">
      <w:start w:val="1"/>
      <w:numFmt w:val="none"/>
      <w:lvlText w:val=""/>
      <w:lvlJc w:val="left"/>
      <w:pPr>
        <w:tabs>
          <w:tab w:val="num" w:pos="-360"/>
        </w:tabs>
        <w:ind w:left="-720"/>
      </w:pPr>
      <w:rPr>
        <w:rFonts w:cs="Times New Roman" w:hint="default"/>
      </w:rPr>
    </w:lvl>
    <w:lvl w:ilvl="5">
      <w:start w:val="1"/>
      <w:numFmt w:val="none"/>
      <w:lvlText w:val=""/>
      <w:lvlJc w:val="left"/>
      <w:pPr>
        <w:tabs>
          <w:tab w:val="num" w:pos="-360"/>
        </w:tabs>
        <w:ind w:left="-720"/>
      </w:pPr>
      <w:rPr>
        <w:rFonts w:cs="Times New Roman" w:hint="default"/>
      </w:rPr>
    </w:lvl>
    <w:lvl w:ilvl="6">
      <w:start w:val="1"/>
      <w:numFmt w:val="none"/>
      <w:lvlText w:val=""/>
      <w:lvlJc w:val="left"/>
      <w:pPr>
        <w:tabs>
          <w:tab w:val="num" w:pos="-360"/>
        </w:tabs>
        <w:ind w:left="-720"/>
      </w:pPr>
      <w:rPr>
        <w:rFonts w:cs="Times New Roman" w:hint="default"/>
      </w:rPr>
    </w:lvl>
    <w:lvl w:ilvl="7">
      <w:start w:val="1"/>
      <w:numFmt w:val="none"/>
      <w:lvlText w:val=""/>
      <w:lvlJc w:val="left"/>
      <w:pPr>
        <w:tabs>
          <w:tab w:val="num" w:pos="-360"/>
        </w:tabs>
        <w:ind w:left="-720"/>
      </w:pPr>
      <w:rPr>
        <w:rFonts w:cs="Times New Roman" w:hint="default"/>
      </w:rPr>
    </w:lvl>
    <w:lvl w:ilvl="8">
      <w:start w:val="1"/>
      <w:numFmt w:val="none"/>
      <w:lvlText w:val=""/>
      <w:lvlJc w:val="left"/>
      <w:pPr>
        <w:tabs>
          <w:tab w:val="num" w:pos="-360"/>
        </w:tabs>
        <w:ind w:left="-720"/>
      </w:pPr>
      <w:rPr>
        <w:rFonts w:cs="Times New Roman" w:hint="default"/>
      </w:rPr>
    </w:lvl>
  </w:abstractNum>
  <w:abstractNum w:abstractNumId="28">
    <w:nsid w:val="58101B9F"/>
    <w:multiLevelType w:val="hybridMultilevel"/>
    <w:tmpl w:val="DBE21A9C"/>
    <w:lvl w:ilvl="0" w:tplc="7DCA13DC">
      <w:start w:val="1"/>
      <w:numFmt w:val="bullet"/>
      <w:pStyle w:val="Bullet1Framework"/>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598C0CA2"/>
    <w:multiLevelType w:val="hybridMultilevel"/>
    <w:tmpl w:val="B58E7BC2"/>
    <w:lvl w:ilvl="0" w:tplc="14682C5A">
      <w:start w:val="1"/>
      <w:numFmt w:val="lowerLetter"/>
      <w:lvlText w:val="%1)"/>
      <w:lvlJc w:val="left"/>
      <w:pPr>
        <w:ind w:left="720" w:hanging="360"/>
      </w:pPr>
    </w:lvl>
    <w:lvl w:ilvl="1" w:tplc="FC3E6086" w:tentative="1">
      <w:start w:val="1"/>
      <w:numFmt w:val="lowerLetter"/>
      <w:lvlText w:val="%2."/>
      <w:lvlJc w:val="left"/>
      <w:pPr>
        <w:ind w:left="1440" w:hanging="360"/>
      </w:pPr>
    </w:lvl>
    <w:lvl w:ilvl="2" w:tplc="8F30C538" w:tentative="1">
      <w:start w:val="1"/>
      <w:numFmt w:val="lowerRoman"/>
      <w:lvlText w:val="%3."/>
      <w:lvlJc w:val="right"/>
      <w:pPr>
        <w:ind w:left="2160" w:hanging="180"/>
      </w:pPr>
    </w:lvl>
    <w:lvl w:ilvl="3" w:tplc="AF7C9BA2" w:tentative="1">
      <w:start w:val="1"/>
      <w:numFmt w:val="decimal"/>
      <w:lvlText w:val="%4."/>
      <w:lvlJc w:val="left"/>
      <w:pPr>
        <w:ind w:left="2880" w:hanging="360"/>
      </w:pPr>
    </w:lvl>
    <w:lvl w:ilvl="4" w:tplc="13842208" w:tentative="1">
      <w:start w:val="1"/>
      <w:numFmt w:val="lowerLetter"/>
      <w:lvlText w:val="%5."/>
      <w:lvlJc w:val="left"/>
      <w:pPr>
        <w:ind w:left="3600" w:hanging="360"/>
      </w:pPr>
    </w:lvl>
    <w:lvl w:ilvl="5" w:tplc="F2E012B8" w:tentative="1">
      <w:start w:val="1"/>
      <w:numFmt w:val="lowerRoman"/>
      <w:lvlText w:val="%6."/>
      <w:lvlJc w:val="right"/>
      <w:pPr>
        <w:ind w:left="4320" w:hanging="180"/>
      </w:pPr>
    </w:lvl>
    <w:lvl w:ilvl="6" w:tplc="7974E610" w:tentative="1">
      <w:start w:val="1"/>
      <w:numFmt w:val="decimal"/>
      <w:lvlText w:val="%7."/>
      <w:lvlJc w:val="left"/>
      <w:pPr>
        <w:ind w:left="5040" w:hanging="360"/>
      </w:pPr>
    </w:lvl>
    <w:lvl w:ilvl="7" w:tplc="84BA718E" w:tentative="1">
      <w:start w:val="1"/>
      <w:numFmt w:val="lowerLetter"/>
      <w:lvlText w:val="%8."/>
      <w:lvlJc w:val="left"/>
      <w:pPr>
        <w:ind w:left="5760" w:hanging="360"/>
      </w:pPr>
    </w:lvl>
    <w:lvl w:ilvl="8" w:tplc="DBBEAFA4" w:tentative="1">
      <w:start w:val="1"/>
      <w:numFmt w:val="lowerRoman"/>
      <w:lvlText w:val="%9."/>
      <w:lvlJc w:val="right"/>
      <w:pPr>
        <w:ind w:left="6480" w:hanging="180"/>
      </w:pPr>
    </w:lvl>
  </w:abstractNum>
  <w:abstractNum w:abstractNumId="30">
    <w:nsid w:val="60183899"/>
    <w:multiLevelType w:val="hybridMultilevel"/>
    <w:tmpl w:val="084A762A"/>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nsid w:val="63C36DAF"/>
    <w:multiLevelType w:val="hybridMultilevel"/>
    <w:tmpl w:val="418CEAF8"/>
    <w:lvl w:ilvl="0" w:tplc="04090017">
      <w:start w:val="1"/>
      <w:numFmt w:val="bullet"/>
      <w:pStyle w:val="Bullet2BodyText"/>
      <w:lvlText w:val="—"/>
      <w:lvlJc w:val="left"/>
      <w:pPr>
        <w:tabs>
          <w:tab w:val="num" w:pos="1800"/>
        </w:tabs>
        <w:ind w:left="1800" w:hanging="360"/>
      </w:pPr>
      <w:rPr>
        <w:rFonts w:ascii="Arial" w:hAnsi="Arial" w:hint="default"/>
        <w:b/>
        <w:i w:val="0"/>
        <w:color w:val="5281AA"/>
        <w:sz w:val="20"/>
      </w:rPr>
    </w:lvl>
    <w:lvl w:ilvl="1" w:tplc="04090019">
      <w:start w:val="1"/>
      <w:numFmt w:val="bullet"/>
      <w:lvlText w:val="o"/>
      <w:lvlJc w:val="left"/>
      <w:pPr>
        <w:tabs>
          <w:tab w:val="num" w:pos="1440"/>
        </w:tabs>
        <w:ind w:left="1440" w:hanging="360"/>
      </w:pPr>
      <w:rPr>
        <w:rFonts w:ascii="Courier New" w:hAnsi="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32">
    <w:nsid w:val="63F617A2"/>
    <w:multiLevelType w:val="hybridMultilevel"/>
    <w:tmpl w:val="41C0C5DE"/>
    <w:lvl w:ilvl="0" w:tplc="1AD8288C">
      <w:start w:val="1"/>
      <w:numFmt w:val="bullet"/>
      <w:pStyle w:val="BodyTextBulletL3"/>
      <w:lvlText w:val=""/>
      <w:lvlJc w:val="left"/>
      <w:pPr>
        <w:tabs>
          <w:tab w:val="num" w:pos="3240"/>
        </w:tabs>
        <w:ind w:left="3240" w:hanging="533"/>
      </w:pPr>
      <w:rPr>
        <w:rFonts w:ascii="Symbol" w:hAnsi="Symbol" w:hint="default"/>
      </w:rPr>
    </w:lvl>
    <w:lvl w:ilvl="1" w:tplc="04090019" w:tentative="1">
      <w:start w:val="1"/>
      <w:numFmt w:val="bullet"/>
      <w:lvlText w:val="o"/>
      <w:lvlJc w:val="left"/>
      <w:pPr>
        <w:tabs>
          <w:tab w:val="num" w:pos="1440"/>
        </w:tabs>
        <w:ind w:left="1440" w:hanging="360"/>
      </w:pPr>
      <w:rPr>
        <w:rFonts w:ascii="Courier New" w:hAnsi="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33">
    <w:nsid w:val="7A4F7062"/>
    <w:multiLevelType w:val="hybridMultilevel"/>
    <w:tmpl w:val="70CA80DA"/>
    <w:lvl w:ilvl="0" w:tplc="02304504">
      <w:start w:val="1"/>
      <w:numFmt w:val="bullet"/>
      <w:lvlText w:val=""/>
      <w:lvlJc w:val="left"/>
      <w:pPr>
        <w:ind w:left="720" w:hanging="360"/>
      </w:pPr>
      <w:rPr>
        <w:rFonts w:ascii="Symbol" w:hAnsi="Symbol"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num w:numId="1">
    <w:abstractNumId w:val="5"/>
  </w:num>
  <w:num w:numId="2">
    <w:abstractNumId w:val="3"/>
  </w:num>
  <w:num w:numId="3">
    <w:abstractNumId w:val="4"/>
  </w:num>
  <w:num w:numId="4">
    <w:abstractNumId w:val="2"/>
  </w:num>
  <w:num w:numId="5">
    <w:abstractNumId w:val="1"/>
  </w:num>
  <w:num w:numId="6">
    <w:abstractNumId w:val="0"/>
  </w:num>
  <w:num w:numId="7">
    <w:abstractNumId w:val="10"/>
  </w:num>
  <w:num w:numId="8">
    <w:abstractNumId w:val="27"/>
  </w:num>
  <w:num w:numId="9">
    <w:abstractNumId w:val="21"/>
  </w:num>
  <w:num w:numId="10">
    <w:abstractNumId w:val="11"/>
  </w:num>
  <w:num w:numId="11">
    <w:abstractNumId w:val="20"/>
  </w:num>
  <w:num w:numId="12">
    <w:abstractNumId w:val="15"/>
  </w:num>
  <w:num w:numId="13">
    <w:abstractNumId w:val="19"/>
  </w:num>
  <w:num w:numId="14">
    <w:abstractNumId w:val="23"/>
  </w:num>
  <w:num w:numId="15">
    <w:abstractNumId w:val="26"/>
  </w:num>
  <w:num w:numId="16">
    <w:abstractNumId w:val="16"/>
  </w:num>
  <w:num w:numId="17">
    <w:abstractNumId w:val="32"/>
  </w:num>
  <w:num w:numId="18">
    <w:abstractNumId w:val="8"/>
  </w:num>
  <w:num w:numId="19">
    <w:abstractNumId w:val="9"/>
  </w:num>
  <w:num w:numId="20">
    <w:abstractNumId w:val="31"/>
  </w:num>
  <w:num w:numId="21">
    <w:abstractNumId w:val="7"/>
  </w:num>
  <w:num w:numId="22">
    <w:abstractNumId w:val="13"/>
  </w:num>
  <w:num w:numId="23">
    <w:abstractNumId w:val="28"/>
  </w:num>
  <w:num w:numId="24">
    <w:abstractNumId w:val="24"/>
  </w:num>
  <w:num w:numId="2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6"/>
  </w:num>
  <w:num w:numId="27">
    <w:abstractNumId w:val="22"/>
  </w:num>
  <w:num w:numId="28">
    <w:abstractNumId w:val="33"/>
  </w:num>
  <w:num w:numId="29">
    <w:abstractNumId w:val="30"/>
  </w:num>
  <w:num w:numId="30">
    <w:abstractNumId w:val="14"/>
  </w:num>
  <w:num w:numId="31">
    <w:abstractNumId w:val="29"/>
  </w:num>
  <w:num w:numId="32">
    <w:abstractNumId w:val="17"/>
  </w:num>
  <w:num w:numId="33">
    <w:abstractNumId w:val="12"/>
  </w:num>
  <w:num w:numId="34">
    <w:abstractNumId w:val="25"/>
  </w:num>
  <w:num w:numId="35">
    <w:abstractNumId w:val="18"/>
  </w:num>
  <w:numIdMacAtCleanup w:val="2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removePersonalInformation/>
  <w:removeDateAndTime/>
  <w:stylePaneFormatFilter w:val="3001"/>
  <w:defaultTabStop w:val="720"/>
  <w:drawingGridHorizontalSpacing w:val="110"/>
  <w:displayHorizontalDrawingGridEvery w:val="2"/>
  <w:noPunctuationKerning/>
  <w:characterSpacingControl w:val="doNotCompress"/>
  <w:hdrShapeDefaults>
    <o:shapedefaults v:ext="edit" spidmax="15361"/>
  </w:hdrShapeDefaults>
  <w:footnotePr>
    <w:footnote w:id="-1"/>
    <w:footnote w:id="0"/>
  </w:footnotePr>
  <w:endnotePr>
    <w:endnote w:id="-1"/>
    <w:endnote w:id="0"/>
  </w:endnotePr>
  <w:compat/>
  <w:rsids>
    <w:rsidRoot w:val="00636E2C"/>
    <w:rsid w:val="0000004A"/>
    <w:rsid w:val="00001E84"/>
    <w:rsid w:val="00004A44"/>
    <w:rsid w:val="000069EC"/>
    <w:rsid w:val="00010104"/>
    <w:rsid w:val="000109D9"/>
    <w:rsid w:val="000113F0"/>
    <w:rsid w:val="00011831"/>
    <w:rsid w:val="00011D75"/>
    <w:rsid w:val="00013093"/>
    <w:rsid w:val="00015768"/>
    <w:rsid w:val="00017F91"/>
    <w:rsid w:val="00023422"/>
    <w:rsid w:val="0002499B"/>
    <w:rsid w:val="00025E62"/>
    <w:rsid w:val="00030372"/>
    <w:rsid w:val="00030B32"/>
    <w:rsid w:val="00033B23"/>
    <w:rsid w:val="00035758"/>
    <w:rsid w:val="00042F9F"/>
    <w:rsid w:val="00051832"/>
    <w:rsid w:val="0005477E"/>
    <w:rsid w:val="00055BFB"/>
    <w:rsid w:val="00055F41"/>
    <w:rsid w:val="00057ED2"/>
    <w:rsid w:val="000601E9"/>
    <w:rsid w:val="000601FA"/>
    <w:rsid w:val="000604DD"/>
    <w:rsid w:val="00064007"/>
    <w:rsid w:val="00064694"/>
    <w:rsid w:val="000656CE"/>
    <w:rsid w:val="00065974"/>
    <w:rsid w:val="000669D8"/>
    <w:rsid w:val="00072714"/>
    <w:rsid w:val="00073C6B"/>
    <w:rsid w:val="00073CB1"/>
    <w:rsid w:val="000769B0"/>
    <w:rsid w:val="000808B0"/>
    <w:rsid w:val="000819A9"/>
    <w:rsid w:val="00085319"/>
    <w:rsid w:val="00091D65"/>
    <w:rsid w:val="00093827"/>
    <w:rsid w:val="00096119"/>
    <w:rsid w:val="000A4B5C"/>
    <w:rsid w:val="000B142B"/>
    <w:rsid w:val="000B14CF"/>
    <w:rsid w:val="000B4929"/>
    <w:rsid w:val="000B4AC5"/>
    <w:rsid w:val="000B6BAD"/>
    <w:rsid w:val="000C6D70"/>
    <w:rsid w:val="000D0B8D"/>
    <w:rsid w:val="000D25A5"/>
    <w:rsid w:val="000D415E"/>
    <w:rsid w:val="000D4430"/>
    <w:rsid w:val="000D587C"/>
    <w:rsid w:val="000E5BEB"/>
    <w:rsid w:val="000E722E"/>
    <w:rsid w:val="000E7B6E"/>
    <w:rsid w:val="000F3BD3"/>
    <w:rsid w:val="000F5C72"/>
    <w:rsid w:val="000F72E5"/>
    <w:rsid w:val="000F79AC"/>
    <w:rsid w:val="000F7F4C"/>
    <w:rsid w:val="00104DBE"/>
    <w:rsid w:val="00106B87"/>
    <w:rsid w:val="001072F8"/>
    <w:rsid w:val="00113D2D"/>
    <w:rsid w:val="001152AE"/>
    <w:rsid w:val="0012071D"/>
    <w:rsid w:val="00126ECD"/>
    <w:rsid w:val="00127103"/>
    <w:rsid w:val="00131805"/>
    <w:rsid w:val="00131EF4"/>
    <w:rsid w:val="00134599"/>
    <w:rsid w:val="001355A8"/>
    <w:rsid w:val="00140AF4"/>
    <w:rsid w:val="00140BE5"/>
    <w:rsid w:val="00140C39"/>
    <w:rsid w:val="0014497C"/>
    <w:rsid w:val="00146080"/>
    <w:rsid w:val="00147498"/>
    <w:rsid w:val="001476E7"/>
    <w:rsid w:val="0015000B"/>
    <w:rsid w:val="001511C4"/>
    <w:rsid w:val="00152469"/>
    <w:rsid w:val="0015558F"/>
    <w:rsid w:val="001628E9"/>
    <w:rsid w:val="00171F16"/>
    <w:rsid w:val="0017417F"/>
    <w:rsid w:val="00175BFD"/>
    <w:rsid w:val="001767DF"/>
    <w:rsid w:val="00177A31"/>
    <w:rsid w:val="001819EC"/>
    <w:rsid w:val="001848E4"/>
    <w:rsid w:val="0018533D"/>
    <w:rsid w:val="00186F17"/>
    <w:rsid w:val="00187E85"/>
    <w:rsid w:val="00195F62"/>
    <w:rsid w:val="0019685D"/>
    <w:rsid w:val="001A2885"/>
    <w:rsid w:val="001A2C1B"/>
    <w:rsid w:val="001A5972"/>
    <w:rsid w:val="001B33CC"/>
    <w:rsid w:val="001C1738"/>
    <w:rsid w:val="001C251F"/>
    <w:rsid w:val="001C271F"/>
    <w:rsid w:val="001C6C02"/>
    <w:rsid w:val="001D0A72"/>
    <w:rsid w:val="001D1B45"/>
    <w:rsid w:val="001D2D51"/>
    <w:rsid w:val="001D6FC3"/>
    <w:rsid w:val="001D70BF"/>
    <w:rsid w:val="001D7C8A"/>
    <w:rsid w:val="001E0363"/>
    <w:rsid w:val="001E145E"/>
    <w:rsid w:val="001E302A"/>
    <w:rsid w:val="001E369A"/>
    <w:rsid w:val="001E3A35"/>
    <w:rsid w:val="001E5054"/>
    <w:rsid w:val="001E67C6"/>
    <w:rsid w:val="001F0DD1"/>
    <w:rsid w:val="00200DC6"/>
    <w:rsid w:val="00201B27"/>
    <w:rsid w:val="00204908"/>
    <w:rsid w:val="002064F3"/>
    <w:rsid w:val="00207ED9"/>
    <w:rsid w:val="002157A5"/>
    <w:rsid w:val="0021631C"/>
    <w:rsid w:val="00216E13"/>
    <w:rsid w:val="00221997"/>
    <w:rsid w:val="00221D7B"/>
    <w:rsid w:val="0022335B"/>
    <w:rsid w:val="0022626B"/>
    <w:rsid w:val="00226788"/>
    <w:rsid w:val="00227C0F"/>
    <w:rsid w:val="00227DAE"/>
    <w:rsid w:val="002304B3"/>
    <w:rsid w:val="00231152"/>
    <w:rsid w:val="00232D73"/>
    <w:rsid w:val="002347C3"/>
    <w:rsid w:val="00234E71"/>
    <w:rsid w:val="00237043"/>
    <w:rsid w:val="00240F93"/>
    <w:rsid w:val="00241FAB"/>
    <w:rsid w:val="00244412"/>
    <w:rsid w:val="00247BD0"/>
    <w:rsid w:val="00250368"/>
    <w:rsid w:val="00253E47"/>
    <w:rsid w:val="002570F3"/>
    <w:rsid w:val="00260D3E"/>
    <w:rsid w:val="0026102C"/>
    <w:rsid w:val="00271AC4"/>
    <w:rsid w:val="00271FEB"/>
    <w:rsid w:val="00272067"/>
    <w:rsid w:val="002729BF"/>
    <w:rsid w:val="0027416C"/>
    <w:rsid w:val="00277AE4"/>
    <w:rsid w:val="00277B05"/>
    <w:rsid w:val="002817A0"/>
    <w:rsid w:val="00285C84"/>
    <w:rsid w:val="002878EF"/>
    <w:rsid w:val="00292A7A"/>
    <w:rsid w:val="00292EB4"/>
    <w:rsid w:val="00294842"/>
    <w:rsid w:val="002A1AA2"/>
    <w:rsid w:val="002A680F"/>
    <w:rsid w:val="002A739B"/>
    <w:rsid w:val="002B0716"/>
    <w:rsid w:val="002B0F6D"/>
    <w:rsid w:val="002B2A49"/>
    <w:rsid w:val="002B44A9"/>
    <w:rsid w:val="002B535F"/>
    <w:rsid w:val="002B65A2"/>
    <w:rsid w:val="002C121E"/>
    <w:rsid w:val="002C3B8E"/>
    <w:rsid w:val="002C4851"/>
    <w:rsid w:val="002C6109"/>
    <w:rsid w:val="002C65F6"/>
    <w:rsid w:val="002D0505"/>
    <w:rsid w:val="002D1BD2"/>
    <w:rsid w:val="002D2449"/>
    <w:rsid w:val="002D4023"/>
    <w:rsid w:val="002D43D5"/>
    <w:rsid w:val="002D5126"/>
    <w:rsid w:val="002D7113"/>
    <w:rsid w:val="002E09B0"/>
    <w:rsid w:val="002E1A3E"/>
    <w:rsid w:val="002E2C98"/>
    <w:rsid w:val="002E574A"/>
    <w:rsid w:val="002E5C9B"/>
    <w:rsid w:val="002E5FF6"/>
    <w:rsid w:val="002E6894"/>
    <w:rsid w:val="002E730F"/>
    <w:rsid w:val="002F008D"/>
    <w:rsid w:val="002F5EF6"/>
    <w:rsid w:val="00300B1D"/>
    <w:rsid w:val="0030200B"/>
    <w:rsid w:val="00320EF7"/>
    <w:rsid w:val="0032307D"/>
    <w:rsid w:val="0032383F"/>
    <w:rsid w:val="003254D8"/>
    <w:rsid w:val="00325C2B"/>
    <w:rsid w:val="00332BE8"/>
    <w:rsid w:val="00332F75"/>
    <w:rsid w:val="00334FE6"/>
    <w:rsid w:val="0034125F"/>
    <w:rsid w:val="00342CEA"/>
    <w:rsid w:val="00342D88"/>
    <w:rsid w:val="00343FA2"/>
    <w:rsid w:val="003449C3"/>
    <w:rsid w:val="00345513"/>
    <w:rsid w:val="003458F4"/>
    <w:rsid w:val="0034649D"/>
    <w:rsid w:val="00346A45"/>
    <w:rsid w:val="003519DA"/>
    <w:rsid w:val="003521B1"/>
    <w:rsid w:val="00356385"/>
    <w:rsid w:val="003606BB"/>
    <w:rsid w:val="003619CE"/>
    <w:rsid w:val="00364058"/>
    <w:rsid w:val="003647A8"/>
    <w:rsid w:val="00365846"/>
    <w:rsid w:val="00373805"/>
    <w:rsid w:val="00374F6B"/>
    <w:rsid w:val="0037502E"/>
    <w:rsid w:val="0037609D"/>
    <w:rsid w:val="003767B9"/>
    <w:rsid w:val="00380DE3"/>
    <w:rsid w:val="00383942"/>
    <w:rsid w:val="00385596"/>
    <w:rsid w:val="00390DA8"/>
    <w:rsid w:val="0039271E"/>
    <w:rsid w:val="00394F2D"/>
    <w:rsid w:val="0039619E"/>
    <w:rsid w:val="003968BC"/>
    <w:rsid w:val="003A0769"/>
    <w:rsid w:val="003A0BA8"/>
    <w:rsid w:val="003A465C"/>
    <w:rsid w:val="003A54ED"/>
    <w:rsid w:val="003A7E9A"/>
    <w:rsid w:val="003B0F39"/>
    <w:rsid w:val="003B1D2C"/>
    <w:rsid w:val="003B4991"/>
    <w:rsid w:val="003B4B24"/>
    <w:rsid w:val="003B5CFA"/>
    <w:rsid w:val="003C3538"/>
    <w:rsid w:val="003C3934"/>
    <w:rsid w:val="003C6019"/>
    <w:rsid w:val="003C6A97"/>
    <w:rsid w:val="003D1216"/>
    <w:rsid w:val="003D54AE"/>
    <w:rsid w:val="003D7AFD"/>
    <w:rsid w:val="003E00C4"/>
    <w:rsid w:val="003E45A6"/>
    <w:rsid w:val="003E5A56"/>
    <w:rsid w:val="003E71D1"/>
    <w:rsid w:val="003F2D7F"/>
    <w:rsid w:val="003F5772"/>
    <w:rsid w:val="003F6149"/>
    <w:rsid w:val="003F6B64"/>
    <w:rsid w:val="00401840"/>
    <w:rsid w:val="004046F0"/>
    <w:rsid w:val="0040649E"/>
    <w:rsid w:val="004139AB"/>
    <w:rsid w:val="00423AE4"/>
    <w:rsid w:val="004248CB"/>
    <w:rsid w:val="00424CEB"/>
    <w:rsid w:val="00426113"/>
    <w:rsid w:val="00426C23"/>
    <w:rsid w:val="00426CE3"/>
    <w:rsid w:val="0043133D"/>
    <w:rsid w:val="00431607"/>
    <w:rsid w:val="00431DA7"/>
    <w:rsid w:val="004327B1"/>
    <w:rsid w:val="004341A7"/>
    <w:rsid w:val="0044150A"/>
    <w:rsid w:val="00441B9B"/>
    <w:rsid w:val="0044230D"/>
    <w:rsid w:val="00442E32"/>
    <w:rsid w:val="00444C78"/>
    <w:rsid w:val="00444F54"/>
    <w:rsid w:val="00444FCF"/>
    <w:rsid w:val="0045215D"/>
    <w:rsid w:val="00452B55"/>
    <w:rsid w:val="00453113"/>
    <w:rsid w:val="00453F04"/>
    <w:rsid w:val="00454328"/>
    <w:rsid w:val="004543FB"/>
    <w:rsid w:val="004576B3"/>
    <w:rsid w:val="004624CB"/>
    <w:rsid w:val="0046577D"/>
    <w:rsid w:val="00467C1E"/>
    <w:rsid w:val="00471140"/>
    <w:rsid w:val="00473435"/>
    <w:rsid w:val="00473639"/>
    <w:rsid w:val="00480473"/>
    <w:rsid w:val="004817E8"/>
    <w:rsid w:val="00481B48"/>
    <w:rsid w:val="00481E2A"/>
    <w:rsid w:val="0048460A"/>
    <w:rsid w:val="004846EE"/>
    <w:rsid w:val="00484C5F"/>
    <w:rsid w:val="004858A4"/>
    <w:rsid w:val="004860FD"/>
    <w:rsid w:val="004865C0"/>
    <w:rsid w:val="0049313D"/>
    <w:rsid w:val="00494310"/>
    <w:rsid w:val="004A4B07"/>
    <w:rsid w:val="004A4B74"/>
    <w:rsid w:val="004A59A6"/>
    <w:rsid w:val="004A7428"/>
    <w:rsid w:val="004B08F1"/>
    <w:rsid w:val="004B1ADC"/>
    <w:rsid w:val="004B20D1"/>
    <w:rsid w:val="004B36AE"/>
    <w:rsid w:val="004B6DC1"/>
    <w:rsid w:val="004C0EB5"/>
    <w:rsid w:val="004C51A1"/>
    <w:rsid w:val="004C59C7"/>
    <w:rsid w:val="004D3750"/>
    <w:rsid w:val="004D50A5"/>
    <w:rsid w:val="004D67A7"/>
    <w:rsid w:val="004D769E"/>
    <w:rsid w:val="004E05B0"/>
    <w:rsid w:val="004E48C6"/>
    <w:rsid w:val="004E5232"/>
    <w:rsid w:val="004F39B1"/>
    <w:rsid w:val="004F4857"/>
    <w:rsid w:val="004F4E63"/>
    <w:rsid w:val="004F6E7F"/>
    <w:rsid w:val="004F764F"/>
    <w:rsid w:val="00500368"/>
    <w:rsid w:val="005015C2"/>
    <w:rsid w:val="005016B8"/>
    <w:rsid w:val="0050465C"/>
    <w:rsid w:val="005055C9"/>
    <w:rsid w:val="0051081A"/>
    <w:rsid w:val="0051091E"/>
    <w:rsid w:val="00517744"/>
    <w:rsid w:val="0051774F"/>
    <w:rsid w:val="00520782"/>
    <w:rsid w:val="00524B1B"/>
    <w:rsid w:val="00526321"/>
    <w:rsid w:val="0052657B"/>
    <w:rsid w:val="00526D66"/>
    <w:rsid w:val="00530079"/>
    <w:rsid w:val="00533DFD"/>
    <w:rsid w:val="00535BDC"/>
    <w:rsid w:val="00536CF3"/>
    <w:rsid w:val="005412E0"/>
    <w:rsid w:val="00543C40"/>
    <w:rsid w:val="00550DDC"/>
    <w:rsid w:val="005510CD"/>
    <w:rsid w:val="00551F2D"/>
    <w:rsid w:val="0055219C"/>
    <w:rsid w:val="00557B20"/>
    <w:rsid w:val="005605A3"/>
    <w:rsid w:val="005633BC"/>
    <w:rsid w:val="005706E6"/>
    <w:rsid w:val="00575914"/>
    <w:rsid w:val="005777C7"/>
    <w:rsid w:val="005826A1"/>
    <w:rsid w:val="0058272F"/>
    <w:rsid w:val="00583841"/>
    <w:rsid w:val="00583AF5"/>
    <w:rsid w:val="00583D67"/>
    <w:rsid w:val="005847B7"/>
    <w:rsid w:val="005860F4"/>
    <w:rsid w:val="005865AD"/>
    <w:rsid w:val="00593EA4"/>
    <w:rsid w:val="005945B1"/>
    <w:rsid w:val="00597E1C"/>
    <w:rsid w:val="005A2EF0"/>
    <w:rsid w:val="005A3051"/>
    <w:rsid w:val="005A67E0"/>
    <w:rsid w:val="005A7E53"/>
    <w:rsid w:val="005B3B60"/>
    <w:rsid w:val="005B7BE3"/>
    <w:rsid w:val="005C089B"/>
    <w:rsid w:val="005C1D92"/>
    <w:rsid w:val="005C2204"/>
    <w:rsid w:val="005C3906"/>
    <w:rsid w:val="005C59BB"/>
    <w:rsid w:val="005C6E9F"/>
    <w:rsid w:val="005D115C"/>
    <w:rsid w:val="005D2449"/>
    <w:rsid w:val="005D4190"/>
    <w:rsid w:val="005D516B"/>
    <w:rsid w:val="005E0032"/>
    <w:rsid w:val="005E274C"/>
    <w:rsid w:val="005E2EBB"/>
    <w:rsid w:val="005E426F"/>
    <w:rsid w:val="005E75EE"/>
    <w:rsid w:val="005F1D4A"/>
    <w:rsid w:val="005F2565"/>
    <w:rsid w:val="005F3F23"/>
    <w:rsid w:val="005F52DA"/>
    <w:rsid w:val="005F61FD"/>
    <w:rsid w:val="00601BFA"/>
    <w:rsid w:val="0060230A"/>
    <w:rsid w:val="0060240A"/>
    <w:rsid w:val="00606B3E"/>
    <w:rsid w:val="00610107"/>
    <w:rsid w:val="00610674"/>
    <w:rsid w:val="00612079"/>
    <w:rsid w:val="00615BF6"/>
    <w:rsid w:val="0061673E"/>
    <w:rsid w:val="00622A8C"/>
    <w:rsid w:val="00623395"/>
    <w:rsid w:val="00625F02"/>
    <w:rsid w:val="006268AB"/>
    <w:rsid w:val="0063124C"/>
    <w:rsid w:val="00631527"/>
    <w:rsid w:val="006323DC"/>
    <w:rsid w:val="006350E0"/>
    <w:rsid w:val="00636851"/>
    <w:rsid w:val="00636E2C"/>
    <w:rsid w:val="00646241"/>
    <w:rsid w:val="00646389"/>
    <w:rsid w:val="00646E5D"/>
    <w:rsid w:val="006474F9"/>
    <w:rsid w:val="00650EAC"/>
    <w:rsid w:val="0065333E"/>
    <w:rsid w:val="006533EB"/>
    <w:rsid w:val="00656B49"/>
    <w:rsid w:val="006604A7"/>
    <w:rsid w:val="006614EB"/>
    <w:rsid w:val="00661AF7"/>
    <w:rsid w:val="00662A64"/>
    <w:rsid w:val="00663156"/>
    <w:rsid w:val="0066424B"/>
    <w:rsid w:val="006659AB"/>
    <w:rsid w:val="00665CFE"/>
    <w:rsid w:val="00666425"/>
    <w:rsid w:val="0067267C"/>
    <w:rsid w:val="0067431E"/>
    <w:rsid w:val="00676F8A"/>
    <w:rsid w:val="006822C6"/>
    <w:rsid w:val="00682CB5"/>
    <w:rsid w:val="00683619"/>
    <w:rsid w:val="00683AE4"/>
    <w:rsid w:val="0068519F"/>
    <w:rsid w:val="006869CA"/>
    <w:rsid w:val="00687B0D"/>
    <w:rsid w:val="00687FE0"/>
    <w:rsid w:val="00692B5F"/>
    <w:rsid w:val="00694152"/>
    <w:rsid w:val="00694B7E"/>
    <w:rsid w:val="006A0A4E"/>
    <w:rsid w:val="006A4102"/>
    <w:rsid w:val="006A4597"/>
    <w:rsid w:val="006B6533"/>
    <w:rsid w:val="006B67B3"/>
    <w:rsid w:val="006B6A2A"/>
    <w:rsid w:val="006C05A1"/>
    <w:rsid w:val="006C1957"/>
    <w:rsid w:val="006C28F5"/>
    <w:rsid w:val="006C2ABC"/>
    <w:rsid w:val="006C4B45"/>
    <w:rsid w:val="006C4FF8"/>
    <w:rsid w:val="006C66F3"/>
    <w:rsid w:val="006D1B8B"/>
    <w:rsid w:val="006D29B7"/>
    <w:rsid w:val="006D31D2"/>
    <w:rsid w:val="006D4239"/>
    <w:rsid w:val="006D451A"/>
    <w:rsid w:val="006D4E51"/>
    <w:rsid w:val="006E0309"/>
    <w:rsid w:val="006E2822"/>
    <w:rsid w:val="006E3CDE"/>
    <w:rsid w:val="006E6B2E"/>
    <w:rsid w:val="006F11FB"/>
    <w:rsid w:val="006F1D7B"/>
    <w:rsid w:val="006F27C4"/>
    <w:rsid w:val="006F2C79"/>
    <w:rsid w:val="006F7BDB"/>
    <w:rsid w:val="00701AA0"/>
    <w:rsid w:val="00706C92"/>
    <w:rsid w:val="00706F07"/>
    <w:rsid w:val="00711A67"/>
    <w:rsid w:val="00711B56"/>
    <w:rsid w:val="00712D35"/>
    <w:rsid w:val="007148CC"/>
    <w:rsid w:val="0071572F"/>
    <w:rsid w:val="00717E23"/>
    <w:rsid w:val="00720047"/>
    <w:rsid w:val="00721A5D"/>
    <w:rsid w:val="00726FB5"/>
    <w:rsid w:val="007271DC"/>
    <w:rsid w:val="00727648"/>
    <w:rsid w:val="00731D3F"/>
    <w:rsid w:val="00732BE2"/>
    <w:rsid w:val="00733178"/>
    <w:rsid w:val="00743E43"/>
    <w:rsid w:val="00744D21"/>
    <w:rsid w:val="00750F3E"/>
    <w:rsid w:val="00750FE8"/>
    <w:rsid w:val="007513FD"/>
    <w:rsid w:val="007516F6"/>
    <w:rsid w:val="00752B91"/>
    <w:rsid w:val="00754E0F"/>
    <w:rsid w:val="00764264"/>
    <w:rsid w:val="0076735E"/>
    <w:rsid w:val="00771CAE"/>
    <w:rsid w:val="00771D53"/>
    <w:rsid w:val="007738B6"/>
    <w:rsid w:val="007763D6"/>
    <w:rsid w:val="007764D9"/>
    <w:rsid w:val="00776C68"/>
    <w:rsid w:val="00780F68"/>
    <w:rsid w:val="00781979"/>
    <w:rsid w:val="007828C4"/>
    <w:rsid w:val="00783E3A"/>
    <w:rsid w:val="00784ADF"/>
    <w:rsid w:val="0078600F"/>
    <w:rsid w:val="00787F28"/>
    <w:rsid w:val="007900C1"/>
    <w:rsid w:val="00790F62"/>
    <w:rsid w:val="007931A8"/>
    <w:rsid w:val="0079414A"/>
    <w:rsid w:val="00794CF3"/>
    <w:rsid w:val="00794F29"/>
    <w:rsid w:val="00794F2A"/>
    <w:rsid w:val="0079746D"/>
    <w:rsid w:val="007A199C"/>
    <w:rsid w:val="007A1B3F"/>
    <w:rsid w:val="007A247E"/>
    <w:rsid w:val="007A252B"/>
    <w:rsid w:val="007A5471"/>
    <w:rsid w:val="007A67FA"/>
    <w:rsid w:val="007B1FB8"/>
    <w:rsid w:val="007B2151"/>
    <w:rsid w:val="007B23D3"/>
    <w:rsid w:val="007B25E4"/>
    <w:rsid w:val="007B4DF9"/>
    <w:rsid w:val="007B6897"/>
    <w:rsid w:val="007B6924"/>
    <w:rsid w:val="007C776D"/>
    <w:rsid w:val="007C7E13"/>
    <w:rsid w:val="007D00D2"/>
    <w:rsid w:val="007D1A4A"/>
    <w:rsid w:val="007D1C89"/>
    <w:rsid w:val="007D3C70"/>
    <w:rsid w:val="007E3DF2"/>
    <w:rsid w:val="007E4F77"/>
    <w:rsid w:val="007E7DB2"/>
    <w:rsid w:val="007F7AB6"/>
    <w:rsid w:val="0080010A"/>
    <w:rsid w:val="008005E8"/>
    <w:rsid w:val="00803299"/>
    <w:rsid w:val="0080383D"/>
    <w:rsid w:val="00811044"/>
    <w:rsid w:val="00812434"/>
    <w:rsid w:val="00812594"/>
    <w:rsid w:val="0081578C"/>
    <w:rsid w:val="0082181B"/>
    <w:rsid w:val="00822084"/>
    <w:rsid w:val="00823340"/>
    <w:rsid w:val="008341D7"/>
    <w:rsid w:val="00836020"/>
    <w:rsid w:val="00837F44"/>
    <w:rsid w:val="0084012F"/>
    <w:rsid w:val="008435A0"/>
    <w:rsid w:val="00845F7B"/>
    <w:rsid w:val="008471DB"/>
    <w:rsid w:val="0085054F"/>
    <w:rsid w:val="008529FA"/>
    <w:rsid w:val="00854ACD"/>
    <w:rsid w:val="00854F66"/>
    <w:rsid w:val="00857E47"/>
    <w:rsid w:val="00866DCC"/>
    <w:rsid w:val="00870579"/>
    <w:rsid w:val="00870C06"/>
    <w:rsid w:val="00873092"/>
    <w:rsid w:val="00873D2A"/>
    <w:rsid w:val="008741BD"/>
    <w:rsid w:val="00874EF4"/>
    <w:rsid w:val="008806CA"/>
    <w:rsid w:val="00885B61"/>
    <w:rsid w:val="00886F05"/>
    <w:rsid w:val="00896681"/>
    <w:rsid w:val="008A02C5"/>
    <w:rsid w:val="008A0ABE"/>
    <w:rsid w:val="008A442D"/>
    <w:rsid w:val="008A4CD7"/>
    <w:rsid w:val="008A4E21"/>
    <w:rsid w:val="008A55C1"/>
    <w:rsid w:val="008A57DD"/>
    <w:rsid w:val="008A6445"/>
    <w:rsid w:val="008B087B"/>
    <w:rsid w:val="008B0A56"/>
    <w:rsid w:val="008B11CE"/>
    <w:rsid w:val="008B298B"/>
    <w:rsid w:val="008B3E73"/>
    <w:rsid w:val="008B77E1"/>
    <w:rsid w:val="008B7C82"/>
    <w:rsid w:val="008C063B"/>
    <w:rsid w:val="008C1424"/>
    <w:rsid w:val="008C1C53"/>
    <w:rsid w:val="008C1E45"/>
    <w:rsid w:val="008C32DD"/>
    <w:rsid w:val="008C61C0"/>
    <w:rsid w:val="008C61CE"/>
    <w:rsid w:val="008D1B90"/>
    <w:rsid w:val="008D1EC7"/>
    <w:rsid w:val="008D398E"/>
    <w:rsid w:val="008D4F51"/>
    <w:rsid w:val="008D5D57"/>
    <w:rsid w:val="008E3CF3"/>
    <w:rsid w:val="008E4114"/>
    <w:rsid w:val="008E4A5E"/>
    <w:rsid w:val="008F2D47"/>
    <w:rsid w:val="008F61C5"/>
    <w:rsid w:val="008F6205"/>
    <w:rsid w:val="008F63AB"/>
    <w:rsid w:val="008F72A0"/>
    <w:rsid w:val="008F7A03"/>
    <w:rsid w:val="009001F9"/>
    <w:rsid w:val="009065CD"/>
    <w:rsid w:val="00910410"/>
    <w:rsid w:val="00913455"/>
    <w:rsid w:val="00923F27"/>
    <w:rsid w:val="009247C3"/>
    <w:rsid w:val="0092514F"/>
    <w:rsid w:val="00926740"/>
    <w:rsid w:val="00931B70"/>
    <w:rsid w:val="00940669"/>
    <w:rsid w:val="00940E9A"/>
    <w:rsid w:val="0094740F"/>
    <w:rsid w:val="00951ED3"/>
    <w:rsid w:val="00953127"/>
    <w:rsid w:val="009558FF"/>
    <w:rsid w:val="00956516"/>
    <w:rsid w:val="009635CE"/>
    <w:rsid w:val="00963B02"/>
    <w:rsid w:val="009643AC"/>
    <w:rsid w:val="00965ACB"/>
    <w:rsid w:val="0097085A"/>
    <w:rsid w:val="00970969"/>
    <w:rsid w:val="009709AA"/>
    <w:rsid w:val="009710B9"/>
    <w:rsid w:val="00975B51"/>
    <w:rsid w:val="00977399"/>
    <w:rsid w:val="00982FBE"/>
    <w:rsid w:val="0098335A"/>
    <w:rsid w:val="00984A3D"/>
    <w:rsid w:val="00993BCB"/>
    <w:rsid w:val="00996670"/>
    <w:rsid w:val="009966D1"/>
    <w:rsid w:val="00997B2D"/>
    <w:rsid w:val="00997C6B"/>
    <w:rsid w:val="009A4799"/>
    <w:rsid w:val="009A57BB"/>
    <w:rsid w:val="009A7F01"/>
    <w:rsid w:val="009A7FB4"/>
    <w:rsid w:val="009B10CE"/>
    <w:rsid w:val="009B1AE2"/>
    <w:rsid w:val="009B384D"/>
    <w:rsid w:val="009B7557"/>
    <w:rsid w:val="009C18D9"/>
    <w:rsid w:val="009C1D44"/>
    <w:rsid w:val="009C3A92"/>
    <w:rsid w:val="009C4325"/>
    <w:rsid w:val="009D0FF5"/>
    <w:rsid w:val="009D31AF"/>
    <w:rsid w:val="009D3ECD"/>
    <w:rsid w:val="009D4CED"/>
    <w:rsid w:val="009D73A8"/>
    <w:rsid w:val="009D797F"/>
    <w:rsid w:val="009E0C11"/>
    <w:rsid w:val="009E0FBD"/>
    <w:rsid w:val="009E1352"/>
    <w:rsid w:val="009E4103"/>
    <w:rsid w:val="009E698D"/>
    <w:rsid w:val="009F21FA"/>
    <w:rsid w:val="009F273C"/>
    <w:rsid w:val="009F3304"/>
    <w:rsid w:val="009F354B"/>
    <w:rsid w:val="009F4D9B"/>
    <w:rsid w:val="009F7BA8"/>
    <w:rsid w:val="00A00303"/>
    <w:rsid w:val="00A010EF"/>
    <w:rsid w:val="00A01121"/>
    <w:rsid w:val="00A054F3"/>
    <w:rsid w:val="00A066E2"/>
    <w:rsid w:val="00A12104"/>
    <w:rsid w:val="00A214AC"/>
    <w:rsid w:val="00A30C7B"/>
    <w:rsid w:val="00A327D7"/>
    <w:rsid w:val="00A428DF"/>
    <w:rsid w:val="00A45511"/>
    <w:rsid w:val="00A45E79"/>
    <w:rsid w:val="00A501B5"/>
    <w:rsid w:val="00A5100E"/>
    <w:rsid w:val="00A5209D"/>
    <w:rsid w:val="00A52976"/>
    <w:rsid w:val="00A53772"/>
    <w:rsid w:val="00A5488C"/>
    <w:rsid w:val="00A54A0E"/>
    <w:rsid w:val="00A5732B"/>
    <w:rsid w:val="00A57BF2"/>
    <w:rsid w:val="00A64C91"/>
    <w:rsid w:val="00A748E0"/>
    <w:rsid w:val="00A818D0"/>
    <w:rsid w:val="00A81E15"/>
    <w:rsid w:val="00A81E55"/>
    <w:rsid w:val="00A85ACF"/>
    <w:rsid w:val="00A87C61"/>
    <w:rsid w:val="00A910AA"/>
    <w:rsid w:val="00A94018"/>
    <w:rsid w:val="00A9599C"/>
    <w:rsid w:val="00A97E68"/>
    <w:rsid w:val="00AA0523"/>
    <w:rsid w:val="00AA08DE"/>
    <w:rsid w:val="00AA3E59"/>
    <w:rsid w:val="00AA6323"/>
    <w:rsid w:val="00AA717A"/>
    <w:rsid w:val="00AB03D0"/>
    <w:rsid w:val="00AB15D3"/>
    <w:rsid w:val="00AB1F48"/>
    <w:rsid w:val="00AB2E30"/>
    <w:rsid w:val="00AB330B"/>
    <w:rsid w:val="00AB3DB3"/>
    <w:rsid w:val="00AB5251"/>
    <w:rsid w:val="00AB5B83"/>
    <w:rsid w:val="00AB5D58"/>
    <w:rsid w:val="00AB7E62"/>
    <w:rsid w:val="00AC249F"/>
    <w:rsid w:val="00AC50FA"/>
    <w:rsid w:val="00AC78AB"/>
    <w:rsid w:val="00AD05D2"/>
    <w:rsid w:val="00AD3504"/>
    <w:rsid w:val="00AD4E37"/>
    <w:rsid w:val="00AD5736"/>
    <w:rsid w:val="00AD64FE"/>
    <w:rsid w:val="00AD721C"/>
    <w:rsid w:val="00AD79F2"/>
    <w:rsid w:val="00AE0315"/>
    <w:rsid w:val="00AE2F82"/>
    <w:rsid w:val="00AF064C"/>
    <w:rsid w:val="00AF2DD8"/>
    <w:rsid w:val="00AF3F2B"/>
    <w:rsid w:val="00AF5E9A"/>
    <w:rsid w:val="00AF60BC"/>
    <w:rsid w:val="00AF6D3D"/>
    <w:rsid w:val="00B00ECC"/>
    <w:rsid w:val="00B04152"/>
    <w:rsid w:val="00B049BC"/>
    <w:rsid w:val="00B124F9"/>
    <w:rsid w:val="00B12BBF"/>
    <w:rsid w:val="00B13072"/>
    <w:rsid w:val="00B1496B"/>
    <w:rsid w:val="00B17698"/>
    <w:rsid w:val="00B210AB"/>
    <w:rsid w:val="00B23F48"/>
    <w:rsid w:val="00B240AA"/>
    <w:rsid w:val="00B24693"/>
    <w:rsid w:val="00B24BD0"/>
    <w:rsid w:val="00B268B7"/>
    <w:rsid w:val="00B2698B"/>
    <w:rsid w:val="00B2765D"/>
    <w:rsid w:val="00B27FF8"/>
    <w:rsid w:val="00B32458"/>
    <w:rsid w:val="00B36D54"/>
    <w:rsid w:val="00B445A1"/>
    <w:rsid w:val="00B45DE9"/>
    <w:rsid w:val="00B466E1"/>
    <w:rsid w:val="00B50DFA"/>
    <w:rsid w:val="00B515C4"/>
    <w:rsid w:val="00B568BD"/>
    <w:rsid w:val="00B600EF"/>
    <w:rsid w:val="00B6094A"/>
    <w:rsid w:val="00B60C46"/>
    <w:rsid w:val="00B64B50"/>
    <w:rsid w:val="00B67B64"/>
    <w:rsid w:val="00B71B6C"/>
    <w:rsid w:val="00B81CD0"/>
    <w:rsid w:val="00B826B8"/>
    <w:rsid w:val="00B82E98"/>
    <w:rsid w:val="00B85486"/>
    <w:rsid w:val="00B86133"/>
    <w:rsid w:val="00B91E41"/>
    <w:rsid w:val="00B93EDF"/>
    <w:rsid w:val="00B94B06"/>
    <w:rsid w:val="00B9662A"/>
    <w:rsid w:val="00B96CB7"/>
    <w:rsid w:val="00BA207B"/>
    <w:rsid w:val="00BA27BD"/>
    <w:rsid w:val="00BA34FB"/>
    <w:rsid w:val="00BA4E0A"/>
    <w:rsid w:val="00BA7A16"/>
    <w:rsid w:val="00BB6F14"/>
    <w:rsid w:val="00BB717D"/>
    <w:rsid w:val="00BB7EAF"/>
    <w:rsid w:val="00BC045F"/>
    <w:rsid w:val="00BC095C"/>
    <w:rsid w:val="00BC49CE"/>
    <w:rsid w:val="00BC4FF6"/>
    <w:rsid w:val="00BC5B11"/>
    <w:rsid w:val="00BD1D1C"/>
    <w:rsid w:val="00BE068E"/>
    <w:rsid w:val="00BE080A"/>
    <w:rsid w:val="00BE2B44"/>
    <w:rsid w:val="00BE611C"/>
    <w:rsid w:val="00BE69C3"/>
    <w:rsid w:val="00BF01C8"/>
    <w:rsid w:val="00BF177E"/>
    <w:rsid w:val="00BF2AD8"/>
    <w:rsid w:val="00BF513E"/>
    <w:rsid w:val="00BF7C2A"/>
    <w:rsid w:val="00C00CFA"/>
    <w:rsid w:val="00C0119C"/>
    <w:rsid w:val="00C01A37"/>
    <w:rsid w:val="00C058A5"/>
    <w:rsid w:val="00C06990"/>
    <w:rsid w:val="00C10578"/>
    <w:rsid w:val="00C109B9"/>
    <w:rsid w:val="00C163CB"/>
    <w:rsid w:val="00C17CC3"/>
    <w:rsid w:val="00C2022E"/>
    <w:rsid w:val="00C2213A"/>
    <w:rsid w:val="00C23AAD"/>
    <w:rsid w:val="00C26E42"/>
    <w:rsid w:val="00C27B33"/>
    <w:rsid w:val="00C322DC"/>
    <w:rsid w:val="00C324B4"/>
    <w:rsid w:val="00C343A9"/>
    <w:rsid w:val="00C34EAC"/>
    <w:rsid w:val="00C37209"/>
    <w:rsid w:val="00C37D5F"/>
    <w:rsid w:val="00C410C3"/>
    <w:rsid w:val="00C43E80"/>
    <w:rsid w:val="00C43E9B"/>
    <w:rsid w:val="00C44AE5"/>
    <w:rsid w:val="00C45E8A"/>
    <w:rsid w:val="00C46299"/>
    <w:rsid w:val="00C47E3B"/>
    <w:rsid w:val="00C47F3A"/>
    <w:rsid w:val="00C5157F"/>
    <w:rsid w:val="00C5327B"/>
    <w:rsid w:val="00C5542F"/>
    <w:rsid w:val="00C5593D"/>
    <w:rsid w:val="00C61BF1"/>
    <w:rsid w:val="00C67667"/>
    <w:rsid w:val="00C718A8"/>
    <w:rsid w:val="00C73B74"/>
    <w:rsid w:val="00C73BB2"/>
    <w:rsid w:val="00C802C1"/>
    <w:rsid w:val="00C82F86"/>
    <w:rsid w:val="00C8689E"/>
    <w:rsid w:val="00C86E9D"/>
    <w:rsid w:val="00C875E8"/>
    <w:rsid w:val="00C91923"/>
    <w:rsid w:val="00C926AB"/>
    <w:rsid w:val="00C9273E"/>
    <w:rsid w:val="00CA3C48"/>
    <w:rsid w:val="00CA5301"/>
    <w:rsid w:val="00CA68E4"/>
    <w:rsid w:val="00CA7D5F"/>
    <w:rsid w:val="00CB09CF"/>
    <w:rsid w:val="00CB44E7"/>
    <w:rsid w:val="00CB471F"/>
    <w:rsid w:val="00CB5A7A"/>
    <w:rsid w:val="00CB5FD6"/>
    <w:rsid w:val="00CB65F4"/>
    <w:rsid w:val="00CB670A"/>
    <w:rsid w:val="00CB7178"/>
    <w:rsid w:val="00CC04E9"/>
    <w:rsid w:val="00CC0C3A"/>
    <w:rsid w:val="00CC2073"/>
    <w:rsid w:val="00CC641B"/>
    <w:rsid w:val="00CC7485"/>
    <w:rsid w:val="00CC79B4"/>
    <w:rsid w:val="00CD20BB"/>
    <w:rsid w:val="00CD20E0"/>
    <w:rsid w:val="00CE320E"/>
    <w:rsid w:val="00CF1825"/>
    <w:rsid w:val="00CF6574"/>
    <w:rsid w:val="00CF6CA5"/>
    <w:rsid w:val="00D004BF"/>
    <w:rsid w:val="00D00BDA"/>
    <w:rsid w:val="00D0268C"/>
    <w:rsid w:val="00D02D6F"/>
    <w:rsid w:val="00D03352"/>
    <w:rsid w:val="00D033A8"/>
    <w:rsid w:val="00D047FF"/>
    <w:rsid w:val="00D05458"/>
    <w:rsid w:val="00D06E5F"/>
    <w:rsid w:val="00D07541"/>
    <w:rsid w:val="00D07C26"/>
    <w:rsid w:val="00D159EF"/>
    <w:rsid w:val="00D170DB"/>
    <w:rsid w:val="00D21897"/>
    <w:rsid w:val="00D2241A"/>
    <w:rsid w:val="00D22F3F"/>
    <w:rsid w:val="00D251A6"/>
    <w:rsid w:val="00D27C05"/>
    <w:rsid w:val="00D323F3"/>
    <w:rsid w:val="00D40750"/>
    <w:rsid w:val="00D412EA"/>
    <w:rsid w:val="00D41D9E"/>
    <w:rsid w:val="00D45E01"/>
    <w:rsid w:val="00D52EB8"/>
    <w:rsid w:val="00D6013E"/>
    <w:rsid w:val="00D60569"/>
    <w:rsid w:val="00D62254"/>
    <w:rsid w:val="00D6484F"/>
    <w:rsid w:val="00D64B1E"/>
    <w:rsid w:val="00D65523"/>
    <w:rsid w:val="00D70976"/>
    <w:rsid w:val="00D7103D"/>
    <w:rsid w:val="00D71446"/>
    <w:rsid w:val="00D727D3"/>
    <w:rsid w:val="00D735C7"/>
    <w:rsid w:val="00D771C1"/>
    <w:rsid w:val="00D77792"/>
    <w:rsid w:val="00D800DD"/>
    <w:rsid w:val="00D80AD3"/>
    <w:rsid w:val="00D82865"/>
    <w:rsid w:val="00D927CD"/>
    <w:rsid w:val="00D941F8"/>
    <w:rsid w:val="00D96E5B"/>
    <w:rsid w:val="00DA3B2E"/>
    <w:rsid w:val="00DA6057"/>
    <w:rsid w:val="00DB13E6"/>
    <w:rsid w:val="00DB1F67"/>
    <w:rsid w:val="00DB2C37"/>
    <w:rsid w:val="00DB3EDB"/>
    <w:rsid w:val="00DB7C0E"/>
    <w:rsid w:val="00DC59C5"/>
    <w:rsid w:val="00DD0ACB"/>
    <w:rsid w:val="00DD2E24"/>
    <w:rsid w:val="00DD333C"/>
    <w:rsid w:val="00DD6CB3"/>
    <w:rsid w:val="00DE05F9"/>
    <w:rsid w:val="00DE7A6A"/>
    <w:rsid w:val="00DF1DB1"/>
    <w:rsid w:val="00DF33D5"/>
    <w:rsid w:val="00DF6C18"/>
    <w:rsid w:val="00E047E4"/>
    <w:rsid w:val="00E13F19"/>
    <w:rsid w:val="00E14C0A"/>
    <w:rsid w:val="00E15442"/>
    <w:rsid w:val="00E23873"/>
    <w:rsid w:val="00E37098"/>
    <w:rsid w:val="00E44B6F"/>
    <w:rsid w:val="00E45693"/>
    <w:rsid w:val="00E5351C"/>
    <w:rsid w:val="00E539EB"/>
    <w:rsid w:val="00E5585A"/>
    <w:rsid w:val="00E56FCA"/>
    <w:rsid w:val="00E63BEB"/>
    <w:rsid w:val="00E64B33"/>
    <w:rsid w:val="00E66ECC"/>
    <w:rsid w:val="00E670A3"/>
    <w:rsid w:val="00E727D3"/>
    <w:rsid w:val="00E72D3C"/>
    <w:rsid w:val="00E7588C"/>
    <w:rsid w:val="00E867D5"/>
    <w:rsid w:val="00E87A11"/>
    <w:rsid w:val="00E904CA"/>
    <w:rsid w:val="00E925A1"/>
    <w:rsid w:val="00E94177"/>
    <w:rsid w:val="00E94C27"/>
    <w:rsid w:val="00E97590"/>
    <w:rsid w:val="00EA0A5A"/>
    <w:rsid w:val="00EA1329"/>
    <w:rsid w:val="00EA2010"/>
    <w:rsid w:val="00EA6D08"/>
    <w:rsid w:val="00EA6D46"/>
    <w:rsid w:val="00EB0FE4"/>
    <w:rsid w:val="00EB4249"/>
    <w:rsid w:val="00EB4313"/>
    <w:rsid w:val="00EB6F26"/>
    <w:rsid w:val="00EC398E"/>
    <w:rsid w:val="00EC3B13"/>
    <w:rsid w:val="00EC5834"/>
    <w:rsid w:val="00EC6282"/>
    <w:rsid w:val="00ED0893"/>
    <w:rsid w:val="00ED1F0C"/>
    <w:rsid w:val="00ED42BD"/>
    <w:rsid w:val="00ED540D"/>
    <w:rsid w:val="00ED5A9B"/>
    <w:rsid w:val="00ED5E14"/>
    <w:rsid w:val="00ED645C"/>
    <w:rsid w:val="00EE2D05"/>
    <w:rsid w:val="00EE5644"/>
    <w:rsid w:val="00EE5B67"/>
    <w:rsid w:val="00EF1A1D"/>
    <w:rsid w:val="00EF1F6F"/>
    <w:rsid w:val="00EF4503"/>
    <w:rsid w:val="00F0145E"/>
    <w:rsid w:val="00F0335D"/>
    <w:rsid w:val="00F03F23"/>
    <w:rsid w:val="00F04382"/>
    <w:rsid w:val="00F16EC9"/>
    <w:rsid w:val="00F21180"/>
    <w:rsid w:val="00F26325"/>
    <w:rsid w:val="00F27598"/>
    <w:rsid w:val="00F30045"/>
    <w:rsid w:val="00F31B8F"/>
    <w:rsid w:val="00F324F9"/>
    <w:rsid w:val="00F327E0"/>
    <w:rsid w:val="00F33267"/>
    <w:rsid w:val="00F34CE0"/>
    <w:rsid w:val="00F40E4F"/>
    <w:rsid w:val="00F44588"/>
    <w:rsid w:val="00F44C00"/>
    <w:rsid w:val="00F4780D"/>
    <w:rsid w:val="00F51459"/>
    <w:rsid w:val="00F518BE"/>
    <w:rsid w:val="00F5193E"/>
    <w:rsid w:val="00F52982"/>
    <w:rsid w:val="00F530F9"/>
    <w:rsid w:val="00F56410"/>
    <w:rsid w:val="00F56F24"/>
    <w:rsid w:val="00F56FD6"/>
    <w:rsid w:val="00F61921"/>
    <w:rsid w:val="00F6233A"/>
    <w:rsid w:val="00F63420"/>
    <w:rsid w:val="00F70138"/>
    <w:rsid w:val="00F73C67"/>
    <w:rsid w:val="00F740A2"/>
    <w:rsid w:val="00F74C21"/>
    <w:rsid w:val="00F768A1"/>
    <w:rsid w:val="00F77A86"/>
    <w:rsid w:val="00F82211"/>
    <w:rsid w:val="00F87773"/>
    <w:rsid w:val="00F9334A"/>
    <w:rsid w:val="00F94826"/>
    <w:rsid w:val="00F950CD"/>
    <w:rsid w:val="00F95FD7"/>
    <w:rsid w:val="00F96DF4"/>
    <w:rsid w:val="00FA0224"/>
    <w:rsid w:val="00FA0761"/>
    <w:rsid w:val="00FA1ABB"/>
    <w:rsid w:val="00FA1EC4"/>
    <w:rsid w:val="00FA45FF"/>
    <w:rsid w:val="00FA682E"/>
    <w:rsid w:val="00FA6ABA"/>
    <w:rsid w:val="00FB15F3"/>
    <w:rsid w:val="00FB78BA"/>
    <w:rsid w:val="00FC3180"/>
    <w:rsid w:val="00FC3EB8"/>
    <w:rsid w:val="00FC6D30"/>
    <w:rsid w:val="00FC7B04"/>
    <w:rsid w:val="00FD03F4"/>
    <w:rsid w:val="00FD0DA1"/>
    <w:rsid w:val="00FD19D1"/>
    <w:rsid w:val="00FD6649"/>
    <w:rsid w:val="00FD691F"/>
    <w:rsid w:val="00FD770E"/>
    <w:rsid w:val="00FE0C76"/>
    <w:rsid w:val="00FE16CB"/>
    <w:rsid w:val="00FE3332"/>
    <w:rsid w:val="00FE39DF"/>
    <w:rsid w:val="00FE6207"/>
    <w:rsid w:val="00FF0511"/>
    <w:rsid w:val="00FF1D43"/>
    <w:rsid w:val="00FF480C"/>
    <w:rsid w:val="00FF499B"/>
    <w:rsid w:val="00FF7E5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5361"/>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qFormat="1"/>
    <w:lsdException w:name="heading 3" w:semiHidden="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39"/>
    <w:lsdException w:name="toc 2" w:semiHidden="0" w:uiPriority="39"/>
    <w:lsdException w:name="toc 3" w:semiHidden="0"/>
    <w:lsdException w:name="toc 4" w:semiHidden="0"/>
    <w:lsdException w:name="toc 5" w:semiHidden="0"/>
    <w:lsdException w:name="toc 6" w:semiHidden="0"/>
    <w:lsdException w:name="toc 7" w:semiHidden="0"/>
    <w:lsdException w:name="toc 8" w:semiHidden="0"/>
    <w:lsdException w:name="toc 9" w:semiHidden="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semiHidden="0"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qFormat="1"/>
    <w:lsdException w:name="Closing" w:locked="1" w:unhideWhenUsed="1"/>
    <w:lsdException w:name="Signature" w:locked="1" w:unhideWhenUsed="1"/>
    <w:lsdException w:name="Default Paragraph Font" w:semiHidden="0" w:uiPriority="1"/>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11"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22" w:qFormat="1"/>
    <w:lsdException w:name="Emphasis" w:semiHidden="0" w:uiPriority="2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59"/>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B85486"/>
    <w:pPr>
      <w:spacing w:before="120" w:after="120"/>
    </w:pPr>
    <w:rPr>
      <w:sz w:val="22"/>
      <w:szCs w:val="24"/>
    </w:rPr>
  </w:style>
  <w:style w:type="paragraph" w:styleId="Heading1">
    <w:name w:val="heading 1"/>
    <w:aliases w:val="h1"/>
    <w:basedOn w:val="Normal"/>
    <w:next w:val="TableText"/>
    <w:link w:val="Heading1Char"/>
    <w:uiPriority w:val="99"/>
    <w:qFormat/>
    <w:rsid w:val="009709AA"/>
    <w:pPr>
      <w:keepNext/>
      <w:keepLines/>
      <w:spacing w:before="240" w:after="240"/>
      <w:outlineLvl w:val="0"/>
    </w:pPr>
    <w:rPr>
      <w:rFonts w:ascii="Cambria" w:hAnsi="Cambria"/>
      <w:b/>
      <w:bCs/>
      <w:kern w:val="32"/>
      <w:sz w:val="32"/>
      <w:szCs w:val="32"/>
    </w:rPr>
  </w:style>
  <w:style w:type="paragraph" w:styleId="Heading2">
    <w:name w:val="heading 2"/>
    <w:aliases w:val="h2"/>
    <w:basedOn w:val="Heading1"/>
    <w:next w:val="TableText"/>
    <w:link w:val="Heading2Char"/>
    <w:uiPriority w:val="99"/>
    <w:qFormat/>
    <w:rsid w:val="00A5732B"/>
    <w:pPr>
      <w:outlineLvl w:val="1"/>
    </w:pPr>
    <w:rPr>
      <w:i/>
      <w:iCs/>
      <w:kern w:val="0"/>
      <w:szCs w:val="28"/>
    </w:rPr>
  </w:style>
  <w:style w:type="paragraph" w:styleId="Heading3">
    <w:name w:val="heading 3"/>
    <w:aliases w:val="h3"/>
    <w:basedOn w:val="Heading2"/>
    <w:next w:val="TableText"/>
    <w:link w:val="Heading3Char"/>
    <w:uiPriority w:val="99"/>
    <w:qFormat/>
    <w:rsid w:val="00A5732B"/>
    <w:pPr>
      <w:outlineLvl w:val="2"/>
    </w:pPr>
    <w:rPr>
      <w:bCs w:val="0"/>
      <w:iCs w:val="0"/>
      <w:sz w:val="26"/>
      <w:szCs w:val="26"/>
    </w:rPr>
  </w:style>
  <w:style w:type="paragraph" w:styleId="Heading4">
    <w:name w:val="heading 4"/>
    <w:aliases w:val="h4"/>
    <w:basedOn w:val="Heading3"/>
    <w:next w:val="TableText"/>
    <w:link w:val="Heading4Char"/>
    <w:uiPriority w:val="99"/>
    <w:qFormat/>
    <w:rsid w:val="00A5732B"/>
    <w:pPr>
      <w:outlineLvl w:val="3"/>
    </w:pPr>
    <w:rPr>
      <w:bCs/>
      <w:i w:val="0"/>
      <w:sz w:val="28"/>
      <w:szCs w:val="28"/>
    </w:rPr>
  </w:style>
  <w:style w:type="paragraph" w:styleId="Heading5">
    <w:name w:val="heading 5"/>
    <w:aliases w:val="h5"/>
    <w:basedOn w:val="Normal"/>
    <w:next w:val="Normal"/>
    <w:link w:val="Heading5Char"/>
    <w:uiPriority w:val="99"/>
    <w:qFormat/>
    <w:rsid w:val="00B85486"/>
    <w:pPr>
      <w:spacing w:before="240" w:after="60"/>
      <w:outlineLvl w:val="4"/>
    </w:pPr>
    <w:rPr>
      <w:rFonts w:ascii="Calibri" w:hAnsi="Calibri"/>
      <w:b/>
      <w:bCs/>
      <w:i/>
      <w:iCs/>
      <w:sz w:val="26"/>
      <w:szCs w:val="26"/>
    </w:rPr>
  </w:style>
  <w:style w:type="paragraph" w:styleId="Heading6">
    <w:name w:val="heading 6"/>
    <w:aliases w:val="h6"/>
    <w:basedOn w:val="Normal"/>
    <w:next w:val="Normal"/>
    <w:link w:val="Heading6Char"/>
    <w:uiPriority w:val="99"/>
    <w:qFormat/>
    <w:rsid w:val="00B85486"/>
    <w:pPr>
      <w:spacing w:before="240" w:after="60"/>
      <w:outlineLvl w:val="5"/>
    </w:pPr>
    <w:rPr>
      <w:rFonts w:ascii="Calibri" w:hAnsi="Calibri"/>
      <w:b/>
      <w:bCs/>
      <w:sz w:val="20"/>
      <w:szCs w:val="20"/>
    </w:rPr>
  </w:style>
  <w:style w:type="paragraph" w:styleId="Heading7">
    <w:name w:val="heading 7"/>
    <w:aliases w:val="h7"/>
    <w:basedOn w:val="Normal"/>
    <w:next w:val="Normal"/>
    <w:link w:val="Heading7Char"/>
    <w:uiPriority w:val="99"/>
    <w:qFormat/>
    <w:rsid w:val="00B85486"/>
    <w:pPr>
      <w:spacing w:before="240" w:after="60"/>
      <w:outlineLvl w:val="6"/>
    </w:pPr>
    <w:rPr>
      <w:rFonts w:ascii="Calibri" w:hAnsi="Calibri"/>
      <w:sz w:val="24"/>
    </w:rPr>
  </w:style>
  <w:style w:type="paragraph" w:styleId="Heading8">
    <w:name w:val="heading 8"/>
    <w:aliases w:val="h8"/>
    <w:basedOn w:val="Normal"/>
    <w:next w:val="Normal"/>
    <w:link w:val="Heading8Char"/>
    <w:uiPriority w:val="99"/>
    <w:qFormat/>
    <w:rsid w:val="00B85486"/>
    <w:pPr>
      <w:spacing w:before="240" w:after="60"/>
      <w:outlineLvl w:val="7"/>
    </w:pPr>
    <w:rPr>
      <w:rFonts w:ascii="Calibri" w:hAnsi="Calibri"/>
      <w:i/>
      <w:iCs/>
      <w:sz w:val="24"/>
    </w:rPr>
  </w:style>
  <w:style w:type="paragraph" w:styleId="Heading9">
    <w:name w:val="heading 9"/>
    <w:aliases w:val="h9"/>
    <w:basedOn w:val="Normal"/>
    <w:next w:val="Normal"/>
    <w:link w:val="Heading9Char"/>
    <w:uiPriority w:val="99"/>
    <w:qFormat/>
    <w:rsid w:val="00B85486"/>
    <w:pPr>
      <w:spacing w:before="240" w:after="60"/>
      <w:outlineLvl w:val="8"/>
    </w:pPr>
    <w:rPr>
      <w:rFonts w:ascii="Cambria" w:hAnsi="Cambria"/>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 Char"/>
    <w:link w:val="Heading1"/>
    <w:uiPriority w:val="99"/>
    <w:locked/>
    <w:rsid w:val="003458F4"/>
    <w:rPr>
      <w:rFonts w:ascii="Cambria" w:hAnsi="Cambria" w:cs="Times New Roman"/>
      <w:b/>
      <w:bCs/>
      <w:kern w:val="32"/>
      <w:sz w:val="32"/>
      <w:szCs w:val="32"/>
    </w:rPr>
  </w:style>
  <w:style w:type="character" w:customStyle="1" w:styleId="Heading2Char">
    <w:name w:val="Heading 2 Char"/>
    <w:aliases w:val="h2 Char"/>
    <w:link w:val="Heading2"/>
    <w:uiPriority w:val="99"/>
    <w:semiHidden/>
    <w:locked/>
    <w:rsid w:val="003458F4"/>
    <w:rPr>
      <w:rFonts w:ascii="Cambria" w:hAnsi="Cambria" w:cs="Times New Roman"/>
      <w:b/>
      <w:bCs/>
      <w:i/>
      <w:iCs/>
      <w:sz w:val="28"/>
      <w:szCs w:val="28"/>
    </w:rPr>
  </w:style>
  <w:style w:type="character" w:customStyle="1" w:styleId="Heading3Char">
    <w:name w:val="Heading 3 Char"/>
    <w:aliases w:val="h3 Char"/>
    <w:link w:val="Heading3"/>
    <w:uiPriority w:val="99"/>
    <w:semiHidden/>
    <w:locked/>
    <w:rsid w:val="003458F4"/>
    <w:rPr>
      <w:rFonts w:ascii="Cambria" w:hAnsi="Cambria" w:cs="Times New Roman"/>
      <w:b/>
      <w:bCs/>
      <w:sz w:val="26"/>
      <w:szCs w:val="26"/>
    </w:rPr>
  </w:style>
  <w:style w:type="character" w:customStyle="1" w:styleId="Heading4Char">
    <w:name w:val="Heading 4 Char"/>
    <w:aliases w:val="h4 Char"/>
    <w:link w:val="Heading4"/>
    <w:uiPriority w:val="99"/>
    <w:locked/>
    <w:rsid w:val="00B85486"/>
    <w:rPr>
      <w:rFonts w:ascii="Times New Roman Bold" w:hAnsi="Times New Roman Bold" w:cs="Arial"/>
      <w:b/>
      <w:i/>
      <w:iCs/>
      <w:kern w:val="32"/>
      <w:sz w:val="28"/>
      <w:szCs w:val="28"/>
      <w:lang w:val="en-US" w:eastAsia="en-US" w:bidi="ar-SA"/>
    </w:rPr>
  </w:style>
  <w:style w:type="character" w:customStyle="1" w:styleId="Heading5Char">
    <w:name w:val="Heading 5 Char"/>
    <w:aliases w:val="h5 Char"/>
    <w:link w:val="Heading5"/>
    <w:uiPriority w:val="99"/>
    <w:semiHidden/>
    <w:locked/>
    <w:rsid w:val="003458F4"/>
    <w:rPr>
      <w:rFonts w:ascii="Calibri" w:hAnsi="Calibri" w:cs="Times New Roman"/>
      <w:b/>
      <w:bCs/>
      <w:i/>
      <w:iCs/>
      <w:sz w:val="26"/>
      <w:szCs w:val="26"/>
    </w:rPr>
  </w:style>
  <w:style w:type="character" w:customStyle="1" w:styleId="Heading6Char">
    <w:name w:val="Heading 6 Char"/>
    <w:aliases w:val="h6 Char"/>
    <w:link w:val="Heading6"/>
    <w:uiPriority w:val="99"/>
    <w:semiHidden/>
    <w:locked/>
    <w:rsid w:val="003458F4"/>
    <w:rPr>
      <w:rFonts w:ascii="Calibri" w:hAnsi="Calibri" w:cs="Times New Roman"/>
      <w:b/>
      <w:bCs/>
    </w:rPr>
  </w:style>
  <w:style w:type="character" w:customStyle="1" w:styleId="Heading7Char">
    <w:name w:val="Heading 7 Char"/>
    <w:aliases w:val="h7 Char"/>
    <w:link w:val="Heading7"/>
    <w:uiPriority w:val="99"/>
    <w:semiHidden/>
    <w:locked/>
    <w:rsid w:val="003458F4"/>
    <w:rPr>
      <w:rFonts w:ascii="Calibri" w:hAnsi="Calibri" w:cs="Times New Roman"/>
      <w:sz w:val="24"/>
      <w:szCs w:val="24"/>
    </w:rPr>
  </w:style>
  <w:style w:type="character" w:customStyle="1" w:styleId="Heading8Char">
    <w:name w:val="Heading 8 Char"/>
    <w:aliases w:val="h8 Char"/>
    <w:link w:val="Heading8"/>
    <w:uiPriority w:val="99"/>
    <w:semiHidden/>
    <w:locked/>
    <w:rsid w:val="003458F4"/>
    <w:rPr>
      <w:rFonts w:ascii="Calibri" w:hAnsi="Calibri" w:cs="Times New Roman"/>
      <w:i/>
      <w:iCs/>
      <w:sz w:val="24"/>
      <w:szCs w:val="24"/>
    </w:rPr>
  </w:style>
  <w:style w:type="character" w:customStyle="1" w:styleId="Heading9Char">
    <w:name w:val="Heading 9 Char"/>
    <w:aliases w:val="h9 Char"/>
    <w:link w:val="Heading9"/>
    <w:uiPriority w:val="99"/>
    <w:semiHidden/>
    <w:locked/>
    <w:rsid w:val="003458F4"/>
    <w:rPr>
      <w:rFonts w:ascii="Cambria" w:hAnsi="Cambria" w:cs="Times New Roman"/>
    </w:rPr>
  </w:style>
  <w:style w:type="paragraph" w:styleId="BalloonText">
    <w:name w:val="Balloon Text"/>
    <w:basedOn w:val="Normal"/>
    <w:link w:val="BalloonTextChar"/>
    <w:uiPriority w:val="99"/>
    <w:semiHidden/>
    <w:rsid w:val="00A5732B"/>
    <w:rPr>
      <w:sz w:val="2"/>
      <w:szCs w:val="20"/>
    </w:rPr>
  </w:style>
  <w:style w:type="character" w:customStyle="1" w:styleId="BalloonTextChar">
    <w:name w:val="Balloon Text Char"/>
    <w:link w:val="BalloonText"/>
    <w:uiPriority w:val="99"/>
    <w:semiHidden/>
    <w:locked/>
    <w:rsid w:val="003458F4"/>
    <w:rPr>
      <w:rFonts w:cs="Times New Roman"/>
      <w:sz w:val="2"/>
    </w:rPr>
  </w:style>
  <w:style w:type="paragraph" w:customStyle="1" w:styleId="BodyLevel1Numbered">
    <w:name w:val="Body Level 1 Numbered"/>
    <w:basedOn w:val="Normal"/>
    <w:uiPriority w:val="99"/>
    <w:rsid w:val="0078600F"/>
    <w:pPr>
      <w:numPr>
        <w:numId w:val="7"/>
      </w:numPr>
      <w:spacing w:before="180" w:after="180"/>
    </w:pPr>
  </w:style>
  <w:style w:type="paragraph" w:styleId="BodyText">
    <w:name w:val="Body Text"/>
    <w:basedOn w:val="Normal"/>
    <w:link w:val="BodyTextChar"/>
    <w:uiPriority w:val="99"/>
    <w:rsid w:val="00781979"/>
    <w:pPr>
      <w:spacing w:before="180" w:after="180"/>
      <w:ind w:left="720"/>
    </w:pPr>
    <w:rPr>
      <w:sz w:val="24"/>
    </w:rPr>
  </w:style>
  <w:style w:type="character" w:customStyle="1" w:styleId="BodyTextChar">
    <w:name w:val="Body Text Char"/>
    <w:link w:val="BodyText"/>
    <w:uiPriority w:val="99"/>
    <w:locked/>
    <w:rsid w:val="00B85486"/>
    <w:rPr>
      <w:rFonts w:cs="Times New Roman"/>
      <w:sz w:val="24"/>
      <w:szCs w:val="24"/>
      <w:lang w:val="en-US" w:eastAsia="en-US" w:bidi="ar-SA"/>
    </w:rPr>
  </w:style>
  <w:style w:type="paragraph" w:customStyle="1" w:styleId="BodyLevel1Text">
    <w:name w:val="Body Level 1 Text"/>
    <w:basedOn w:val="BodyText"/>
    <w:uiPriority w:val="99"/>
    <w:rsid w:val="0015558F"/>
    <w:pPr>
      <w:ind w:left="1620"/>
    </w:pPr>
  </w:style>
  <w:style w:type="paragraph" w:customStyle="1" w:styleId="BodyLevel2Numbered">
    <w:name w:val="Body Level 2 Numbered"/>
    <w:basedOn w:val="Normal"/>
    <w:uiPriority w:val="99"/>
    <w:rsid w:val="0078600F"/>
    <w:pPr>
      <w:numPr>
        <w:ilvl w:val="1"/>
        <w:numId w:val="7"/>
      </w:numPr>
      <w:spacing w:before="180" w:after="180"/>
    </w:pPr>
  </w:style>
  <w:style w:type="paragraph" w:customStyle="1" w:styleId="BodyLevel2Text">
    <w:name w:val="Body Level 2 Text"/>
    <w:basedOn w:val="BodyText"/>
    <w:uiPriority w:val="99"/>
    <w:rsid w:val="00C718A8"/>
    <w:pPr>
      <w:ind w:left="2160"/>
    </w:pPr>
  </w:style>
  <w:style w:type="paragraph" w:customStyle="1" w:styleId="BodyLevel3Numbered">
    <w:name w:val="Body Level 3 Numbered"/>
    <w:basedOn w:val="Normal"/>
    <w:uiPriority w:val="99"/>
    <w:rsid w:val="0078600F"/>
    <w:pPr>
      <w:numPr>
        <w:ilvl w:val="2"/>
        <w:numId w:val="7"/>
      </w:numPr>
      <w:spacing w:before="180" w:after="180"/>
    </w:pPr>
  </w:style>
  <w:style w:type="paragraph" w:customStyle="1" w:styleId="BodyLevel3Text">
    <w:name w:val="Body Level 3 Text"/>
    <w:basedOn w:val="BodyText"/>
    <w:uiPriority w:val="99"/>
    <w:rsid w:val="00C718A8"/>
    <w:pPr>
      <w:ind w:left="2700"/>
    </w:pPr>
  </w:style>
  <w:style w:type="paragraph" w:customStyle="1" w:styleId="BodyLevel4Numbered">
    <w:name w:val="Body Level 4 Numbered"/>
    <w:basedOn w:val="Normal"/>
    <w:uiPriority w:val="99"/>
    <w:rsid w:val="0078600F"/>
    <w:pPr>
      <w:numPr>
        <w:ilvl w:val="3"/>
        <w:numId w:val="7"/>
      </w:numPr>
      <w:spacing w:before="180" w:after="180"/>
    </w:pPr>
  </w:style>
  <w:style w:type="paragraph" w:customStyle="1" w:styleId="BodyLevel4Text">
    <w:name w:val="Body Level 4 Text"/>
    <w:basedOn w:val="BodyText"/>
    <w:uiPriority w:val="99"/>
    <w:rsid w:val="00C718A8"/>
    <w:pPr>
      <w:ind w:left="3240"/>
    </w:pPr>
  </w:style>
  <w:style w:type="paragraph" w:customStyle="1" w:styleId="BodyTextBullet">
    <w:name w:val="Body Text Bullet"/>
    <w:basedOn w:val="Normal"/>
    <w:uiPriority w:val="99"/>
    <w:rsid w:val="0039619E"/>
    <w:pPr>
      <w:numPr>
        <w:numId w:val="14"/>
      </w:numPr>
      <w:tabs>
        <w:tab w:val="clear" w:pos="1627"/>
        <w:tab w:val="num" w:pos="1440"/>
      </w:tabs>
      <w:ind w:left="1440" w:hanging="360"/>
    </w:pPr>
  </w:style>
  <w:style w:type="paragraph" w:customStyle="1" w:styleId="BodyTextBulletL1">
    <w:name w:val="Body Text Bullet L1"/>
    <w:basedOn w:val="Normal"/>
    <w:uiPriority w:val="99"/>
    <w:rsid w:val="0039619E"/>
    <w:pPr>
      <w:numPr>
        <w:numId w:val="15"/>
      </w:numPr>
      <w:ind w:hanging="360"/>
    </w:pPr>
  </w:style>
  <w:style w:type="paragraph" w:customStyle="1" w:styleId="BodyTextBulletL2">
    <w:name w:val="Body Text Bullet L2"/>
    <w:basedOn w:val="Normal"/>
    <w:uiPriority w:val="99"/>
    <w:semiHidden/>
    <w:rsid w:val="0039619E"/>
    <w:pPr>
      <w:numPr>
        <w:numId w:val="16"/>
      </w:numPr>
      <w:ind w:hanging="367"/>
    </w:pPr>
  </w:style>
  <w:style w:type="paragraph" w:customStyle="1" w:styleId="BodyTextBulletL3">
    <w:name w:val="Body Text Bullet L3"/>
    <w:basedOn w:val="Normal"/>
    <w:uiPriority w:val="99"/>
    <w:semiHidden/>
    <w:rsid w:val="0039619E"/>
    <w:pPr>
      <w:numPr>
        <w:numId w:val="17"/>
      </w:numPr>
      <w:ind w:hanging="360"/>
    </w:pPr>
  </w:style>
  <w:style w:type="paragraph" w:styleId="BodyTextIndent">
    <w:name w:val="Body Text Indent"/>
    <w:basedOn w:val="BodyText"/>
    <w:link w:val="BodyTextIndentChar"/>
    <w:uiPriority w:val="99"/>
    <w:semiHidden/>
    <w:rsid w:val="00A5732B"/>
    <w:pPr>
      <w:ind w:left="1080"/>
    </w:pPr>
  </w:style>
  <w:style w:type="character" w:customStyle="1" w:styleId="BodyTextIndentChar">
    <w:name w:val="Body Text Indent Char"/>
    <w:link w:val="BodyTextIndent"/>
    <w:uiPriority w:val="99"/>
    <w:semiHidden/>
    <w:locked/>
    <w:rsid w:val="003458F4"/>
    <w:rPr>
      <w:rFonts w:cs="Times New Roman"/>
      <w:sz w:val="24"/>
      <w:szCs w:val="24"/>
    </w:rPr>
  </w:style>
  <w:style w:type="paragraph" w:customStyle="1" w:styleId="Bullet1Table">
    <w:name w:val="Bullet 1 Table"/>
    <w:basedOn w:val="TableTextBullet"/>
    <w:next w:val="TableTextBullet"/>
    <w:uiPriority w:val="99"/>
    <w:semiHidden/>
    <w:rsid w:val="00794F29"/>
  </w:style>
  <w:style w:type="paragraph" w:styleId="Date">
    <w:name w:val="Date"/>
    <w:basedOn w:val="Normal"/>
    <w:next w:val="Normal"/>
    <w:link w:val="DateChar"/>
    <w:uiPriority w:val="99"/>
    <w:semiHidden/>
    <w:rsid w:val="00A5732B"/>
    <w:rPr>
      <w:sz w:val="24"/>
    </w:rPr>
  </w:style>
  <w:style w:type="character" w:customStyle="1" w:styleId="DateChar">
    <w:name w:val="Date Char"/>
    <w:link w:val="Date"/>
    <w:uiPriority w:val="99"/>
    <w:semiHidden/>
    <w:locked/>
    <w:rsid w:val="003458F4"/>
    <w:rPr>
      <w:rFonts w:cs="Times New Roman"/>
      <w:sz w:val="24"/>
      <w:szCs w:val="24"/>
    </w:rPr>
  </w:style>
  <w:style w:type="paragraph" w:styleId="Footer">
    <w:name w:val="footer"/>
    <w:basedOn w:val="Normal"/>
    <w:link w:val="FooterChar"/>
    <w:uiPriority w:val="99"/>
    <w:rsid w:val="00B32458"/>
    <w:pPr>
      <w:tabs>
        <w:tab w:val="center" w:pos="4680"/>
        <w:tab w:val="center" w:pos="7200"/>
        <w:tab w:val="right" w:pos="14400"/>
      </w:tabs>
      <w:spacing w:after="0"/>
    </w:pPr>
    <w:rPr>
      <w:i/>
      <w:sz w:val="24"/>
    </w:rPr>
  </w:style>
  <w:style w:type="character" w:customStyle="1" w:styleId="FooterChar">
    <w:name w:val="Footer Char"/>
    <w:link w:val="Footer"/>
    <w:uiPriority w:val="99"/>
    <w:locked/>
    <w:rsid w:val="00C2022E"/>
    <w:rPr>
      <w:rFonts w:cs="Times New Roman"/>
      <w:i/>
      <w:sz w:val="24"/>
      <w:szCs w:val="24"/>
    </w:rPr>
  </w:style>
  <w:style w:type="paragraph" w:customStyle="1" w:styleId="Head1-NoTOCor">
    <w:name w:val="Head 1 - No TOC or #"/>
    <w:basedOn w:val="Normal"/>
    <w:next w:val="TableText"/>
    <w:uiPriority w:val="99"/>
    <w:semiHidden/>
    <w:rsid w:val="00A5732B"/>
    <w:pPr>
      <w:keepNext/>
      <w:keepLines/>
      <w:spacing w:before="240" w:after="240"/>
    </w:pPr>
    <w:rPr>
      <w:rFonts w:ascii="Times New Roman Bold" w:hAnsi="Times New Roman Bold"/>
      <w:b/>
      <w:caps/>
      <w:sz w:val="28"/>
      <w:szCs w:val="28"/>
    </w:rPr>
  </w:style>
  <w:style w:type="paragraph" w:customStyle="1" w:styleId="Heading1Numbered">
    <w:name w:val="Heading 1 Numbered"/>
    <w:basedOn w:val="Normal"/>
    <w:next w:val="TableText"/>
    <w:uiPriority w:val="99"/>
    <w:rsid w:val="00823340"/>
    <w:pPr>
      <w:keepNext/>
      <w:keepLines/>
      <w:numPr>
        <w:numId w:val="12"/>
      </w:numPr>
      <w:spacing w:before="240" w:after="240"/>
    </w:pPr>
    <w:rPr>
      <w:rFonts w:ascii="Times New Roman Bold" w:hAnsi="Times New Roman Bold"/>
      <w:b/>
      <w:caps/>
      <w:sz w:val="28"/>
    </w:rPr>
  </w:style>
  <w:style w:type="paragraph" w:customStyle="1" w:styleId="Head1-NoTOC">
    <w:name w:val="Head 1 # - No TOC"/>
    <w:basedOn w:val="Heading1Numbered"/>
    <w:next w:val="BodyText"/>
    <w:uiPriority w:val="99"/>
    <w:semiHidden/>
    <w:rsid w:val="00650EAC"/>
    <w:pPr>
      <w:numPr>
        <w:numId w:val="13"/>
      </w:numPr>
      <w:tabs>
        <w:tab w:val="num" w:pos="1080"/>
        <w:tab w:val="num" w:pos="1440"/>
      </w:tabs>
    </w:pPr>
  </w:style>
  <w:style w:type="paragraph" w:customStyle="1" w:styleId="Head2-NoTOCor">
    <w:name w:val="Head 2 - No TOC or #"/>
    <w:basedOn w:val="Normal"/>
    <w:next w:val="TableText"/>
    <w:uiPriority w:val="99"/>
    <w:semiHidden/>
    <w:rsid w:val="00A5732B"/>
    <w:pPr>
      <w:keepNext/>
      <w:keepLines/>
      <w:spacing w:before="240" w:after="240"/>
    </w:pPr>
    <w:rPr>
      <w:rFonts w:ascii="Times New Roman Bold" w:hAnsi="Times New Roman Bold"/>
      <w:b/>
      <w:sz w:val="28"/>
      <w:szCs w:val="28"/>
    </w:rPr>
  </w:style>
  <w:style w:type="paragraph" w:customStyle="1" w:styleId="Heading2Numbered">
    <w:name w:val="Heading 2 Numbered"/>
    <w:basedOn w:val="Normal"/>
    <w:next w:val="TableText"/>
    <w:link w:val="Heading2NumberedChar"/>
    <w:uiPriority w:val="99"/>
    <w:rsid w:val="003F5772"/>
    <w:pPr>
      <w:keepNext/>
      <w:keepLines/>
      <w:spacing w:before="240" w:after="240"/>
    </w:pPr>
    <w:rPr>
      <w:rFonts w:ascii="Times New Roman Bold" w:hAnsi="Times New Roman Bold"/>
      <w:b/>
      <w:sz w:val="28"/>
    </w:rPr>
  </w:style>
  <w:style w:type="paragraph" w:customStyle="1" w:styleId="Head2-NoTOC">
    <w:name w:val="Head 2 # - No TOC"/>
    <w:basedOn w:val="Heading2Numbered"/>
    <w:next w:val="BodyText"/>
    <w:uiPriority w:val="99"/>
    <w:semiHidden/>
    <w:rsid w:val="00650EAC"/>
    <w:pPr>
      <w:tabs>
        <w:tab w:val="num" w:pos="720"/>
        <w:tab w:val="num" w:pos="1080"/>
        <w:tab w:val="num" w:pos="1440"/>
      </w:tabs>
      <w:ind w:left="1080" w:hanging="360"/>
    </w:pPr>
  </w:style>
  <w:style w:type="paragraph" w:customStyle="1" w:styleId="Head3-NoTOCor">
    <w:name w:val="Head 3 - No TOC or #"/>
    <w:basedOn w:val="Normal"/>
    <w:next w:val="TableText"/>
    <w:uiPriority w:val="99"/>
    <w:semiHidden/>
    <w:rsid w:val="00A5732B"/>
    <w:pPr>
      <w:keepNext/>
      <w:keepLines/>
      <w:spacing w:before="240" w:after="240"/>
    </w:pPr>
    <w:rPr>
      <w:rFonts w:ascii="Times New Roman Bold" w:hAnsi="Times New Roman Bold"/>
      <w:b/>
      <w:sz w:val="24"/>
    </w:rPr>
  </w:style>
  <w:style w:type="paragraph" w:customStyle="1" w:styleId="Heading3Numbered">
    <w:name w:val="Heading 3 Numbered"/>
    <w:basedOn w:val="Heading2Numbered"/>
    <w:next w:val="TableText"/>
    <w:uiPriority w:val="99"/>
    <w:rsid w:val="003F5772"/>
    <w:pPr>
      <w:numPr>
        <w:ilvl w:val="2"/>
      </w:numPr>
    </w:pPr>
  </w:style>
  <w:style w:type="paragraph" w:customStyle="1" w:styleId="Head3-NoTOC">
    <w:name w:val="Head 3 # - No TOC"/>
    <w:basedOn w:val="Heading3Numbered"/>
    <w:next w:val="BodyText"/>
    <w:uiPriority w:val="99"/>
    <w:semiHidden/>
    <w:rsid w:val="00650EAC"/>
    <w:pPr>
      <w:numPr>
        <w:numId w:val="13"/>
      </w:numPr>
      <w:tabs>
        <w:tab w:val="num" w:pos="1440"/>
      </w:tabs>
      <w:ind w:left="1440" w:hanging="360"/>
    </w:pPr>
  </w:style>
  <w:style w:type="paragraph" w:customStyle="1" w:styleId="Head4-NoTOCor">
    <w:name w:val="Head 4 - No TOC or #"/>
    <w:basedOn w:val="Heading4"/>
    <w:next w:val="TableText"/>
    <w:uiPriority w:val="99"/>
    <w:semiHidden/>
    <w:rsid w:val="00A5732B"/>
  </w:style>
  <w:style w:type="paragraph" w:customStyle="1" w:styleId="Heading4Numbered">
    <w:name w:val="Heading 4 Numbered"/>
    <w:basedOn w:val="Normal"/>
    <w:next w:val="TableText"/>
    <w:uiPriority w:val="99"/>
    <w:rsid w:val="003F5772"/>
    <w:pPr>
      <w:keepNext/>
      <w:keepLines/>
      <w:numPr>
        <w:ilvl w:val="3"/>
        <w:numId w:val="12"/>
      </w:numPr>
      <w:spacing w:before="240" w:after="240"/>
    </w:pPr>
    <w:rPr>
      <w:rFonts w:ascii="Times New Roman Bold" w:hAnsi="Times New Roman Bold"/>
      <w:b/>
      <w:sz w:val="24"/>
    </w:rPr>
  </w:style>
  <w:style w:type="paragraph" w:customStyle="1" w:styleId="Head4-NoTOC">
    <w:name w:val="Head 4 # - No TOC"/>
    <w:basedOn w:val="Heading4Numbered"/>
    <w:next w:val="BodyText"/>
    <w:uiPriority w:val="99"/>
    <w:semiHidden/>
    <w:rsid w:val="00650EAC"/>
    <w:pPr>
      <w:numPr>
        <w:numId w:val="13"/>
      </w:numPr>
      <w:tabs>
        <w:tab w:val="num" w:pos="1080"/>
        <w:tab w:val="num" w:pos="1440"/>
      </w:tabs>
      <w:ind w:left="1080" w:hanging="360"/>
    </w:pPr>
  </w:style>
  <w:style w:type="paragraph" w:styleId="Header">
    <w:name w:val="header"/>
    <w:basedOn w:val="Normal"/>
    <w:link w:val="HeaderChar"/>
    <w:uiPriority w:val="99"/>
    <w:rsid w:val="00B32458"/>
    <w:pPr>
      <w:tabs>
        <w:tab w:val="right" w:pos="9360"/>
        <w:tab w:val="right" w:pos="14400"/>
      </w:tabs>
      <w:spacing w:before="0"/>
    </w:pPr>
    <w:rPr>
      <w:sz w:val="24"/>
    </w:rPr>
  </w:style>
  <w:style w:type="character" w:customStyle="1" w:styleId="HeaderChar">
    <w:name w:val="Header Char"/>
    <w:link w:val="Header"/>
    <w:uiPriority w:val="99"/>
    <w:locked/>
    <w:rsid w:val="003458F4"/>
    <w:rPr>
      <w:rFonts w:cs="Times New Roman"/>
      <w:sz w:val="24"/>
      <w:szCs w:val="24"/>
    </w:rPr>
  </w:style>
  <w:style w:type="paragraph" w:customStyle="1" w:styleId="Heading">
    <w:name w:val="Heading"/>
    <w:basedOn w:val="Normal"/>
    <w:uiPriority w:val="99"/>
    <w:rsid w:val="00A5732B"/>
    <w:pPr>
      <w:spacing w:before="240"/>
      <w:jc w:val="center"/>
    </w:pPr>
    <w:rPr>
      <w:b/>
      <w:caps/>
      <w:sz w:val="28"/>
    </w:rPr>
  </w:style>
  <w:style w:type="paragraph" w:customStyle="1" w:styleId="HeadingTable">
    <w:name w:val="Heading Table"/>
    <w:basedOn w:val="Normal"/>
    <w:uiPriority w:val="99"/>
    <w:rsid w:val="00A5732B"/>
    <w:pPr>
      <w:jc w:val="center"/>
    </w:pPr>
    <w:rPr>
      <w:rFonts w:ascii="Times New Roman Bold" w:hAnsi="Times New Roman Bold"/>
      <w:b/>
    </w:rPr>
  </w:style>
  <w:style w:type="paragraph" w:styleId="TOC4">
    <w:name w:val="toc 4"/>
    <w:basedOn w:val="Normal"/>
    <w:next w:val="Normal"/>
    <w:autoRedefine/>
    <w:uiPriority w:val="99"/>
    <w:semiHidden/>
    <w:rsid w:val="009A4799"/>
    <w:pPr>
      <w:ind w:left="660"/>
    </w:pPr>
  </w:style>
  <w:style w:type="paragraph" w:styleId="TOC5">
    <w:name w:val="toc 5"/>
    <w:basedOn w:val="Normal"/>
    <w:next w:val="Normal"/>
    <w:autoRedefine/>
    <w:uiPriority w:val="99"/>
    <w:semiHidden/>
    <w:rsid w:val="009A4799"/>
    <w:pPr>
      <w:ind w:left="880"/>
    </w:pPr>
  </w:style>
  <w:style w:type="paragraph" w:styleId="TOC6">
    <w:name w:val="toc 6"/>
    <w:basedOn w:val="Normal"/>
    <w:next w:val="Normal"/>
    <w:autoRedefine/>
    <w:uiPriority w:val="99"/>
    <w:semiHidden/>
    <w:rsid w:val="009A4799"/>
    <w:pPr>
      <w:ind w:left="1100"/>
    </w:pPr>
  </w:style>
  <w:style w:type="paragraph" w:styleId="TOC7">
    <w:name w:val="toc 7"/>
    <w:basedOn w:val="Normal"/>
    <w:next w:val="Normal"/>
    <w:autoRedefine/>
    <w:uiPriority w:val="99"/>
    <w:semiHidden/>
    <w:rsid w:val="009A4799"/>
    <w:pPr>
      <w:ind w:left="1320"/>
    </w:pPr>
  </w:style>
  <w:style w:type="paragraph" w:styleId="TOC8">
    <w:name w:val="toc 8"/>
    <w:basedOn w:val="Normal"/>
    <w:next w:val="Normal"/>
    <w:autoRedefine/>
    <w:uiPriority w:val="99"/>
    <w:semiHidden/>
    <w:rsid w:val="009A4799"/>
    <w:pPr>
      <w:ind w:left="1540"/>
    </w:pPr>
  </w:style>
  <w:style w:type="paragraph" w:styleId="TOC9">
    <w:name w:val="toc 9"/>
    <w:basedOn w:val="Normal"/>
    <w:next w:val="Normal"/>
    <w:autoRedefine/>
    <w:uiPriority w:val="99"/>
    <w:semiHidden/>
    <w:rsid w:val="009A4799"/>
    <w:pPr>
      <w:ind w:left="1760"/>
    </w:pPr>
  </w:style>
  <w:style w:type="character" w:styleId="Hyperlink">
    <w:name w:val="Hyperlink"/>
    <w:uiPriority w:val="99"/>
    <w:rsid w:val="00A5732B"/>
    <w:rPr>
      <w:rFonts w:cs="Times New Roman"/>
      <w:color w:val="0000FF"/>
      <w:u w:val="single"/>
    </w:rPr>
  </w:style>
  <w:style w:type="paragraph" w:styleId="ListBullet">
    <w:name w:val="List Bullet"/>
    <w:basedOn w:val="BodyTextBullet"/>
    <w:uiPriority w:val="99"/>
    <w:semiHidden/>
    <w:rsid w:val="00F73C67"/>
  </w:style>
  <w:style w:type="paragraph" w:styleId="ListBullet2">
    <w:name w:val="List Bullet 2"/>
    <w:basedOn w:val="BodyTextBulletL1"/>
    <w:uiPriority w:val="99"/>
    <w:semiHidden/>
    <w:rsid w:val="003F6149"/>
  </w:style>
  <w:style w:type="paragraph" w:styleId="Subtitle">
    <w:name w:val="Subtitle"/>
    <w:basedOn w:val="Normal"/>
    <w:link w:val="SubtitleChar"/>
    <w:uiPriority w:val="11"/>
    <w:qFormat/>
    <w:rsid w:val="00A5732B"/>
    <w:pPr>
      <w:spacing w:before="240" w:after="240"/>
    </w:pPr>
    <w:rPr>
      <w:rFonts w:ascii="Cambria" w:hAnsi="Cambria"/>
      <w:sz w:val="24"/>
    </w:rPr>
  </w:style>
  <w:style w:type="character" w:customStyle="1" w:styleId="SubtitleChar">
    <w:name w:val="Subtitle Char"/>
    <w:link w:val="Subtitle"/>
    <w:uiPriority w:val="11"/>
    <w:locked/>
    <w:rsid w:val="003458F4"/>
    <w:rPr>
      <w:rFonts w:ascii="Cambria" w:hAnsi="Cambria" w:cs="Times New Roman"/>
      <w:sz w:val="24"/>
      <w:szCs w:val="24"/>
    </w:rPr>
  </w:style>
  <w:style w:type="table" w:styleId="TableGrid">
    <w:name w:val="Table Grid"/>
    <w:basedOn w:val="TableNormal"/>
    <w:uiPriority w:val="59"/>
    <w:rsid w:val="00A5732B"/>
    <w:pPr>
      <w:spacing w:before="120" w:after="12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Level1Numbered">
    <w:name w:val="Table Level 1 Numbered"/>
    <w:basedOn w:val="Normal"/>
    <w:link w:val="TableLevel1NumberedChar"/>
    <w:uiPriority w:val="99"/>
    <w:rsid w:val="00A45E79"/>
    <w:pPr>
      <w:numPr>
        <w:numId w:val="18"/>
      </w:numPr>
    </w:pPr>
    <w:rPr>
      <w:sz w:val="20"/>
    </w:rPr>
  </w:style>
  <w:style w:type="paragraph" w:customStyle="1" w:styleId="TableLevel1-2Bullet">
    <w:name w:val="Table Level 1-2 Bullet"/>
    <w:basedOn w:val="Normal"/>
    <w:uiPriority w:val="99"/>
    <w:rsid w:val="00623395"/>
    <w:pPr>
      <w:numPr>
        <w:numId w:val="9"/>
      </w:numPr>
    </w:pPr>
  </w:style>
  <w:style w:type="paragraph" w:customStyle="1" w:styleId="TableLevel1-2Indent">
    <w:name w:val="Table Level 1-2 Indent"/>
    <w:basedOn w:val="Normal"/>
    <w:uiPriority w:val="99"/>
    <w:rsid w:val="0081578C"/>
    <w:pPr>
      <w:ind w:left="720"/>
    </w:pPr>
  </w:style>
  <w:style w:type="paragraph" w:customStyle="1" w:styleId="TableLevel5Numbered">
    <w:name w:val="Table Level 5 Numbered"/>
    <w:basedOn w:val="Normal"/>
    <w:uiPriority w:val="99"/>
    <w:rsid w:val="00A45E79"/>
    <w:pPr>
      <w:numPr>
        <w:ilvl w:val="4"/>
        <w:numId w:val="18"/>
      </w:numPr>
    </w:pPr>
  </w:style>
  <w:style w:type="paragraph" w:customStyle="1" w:styleId="TableLevel2Numbered">
    <w:name w:val="Table Level 2 Numbered"/>
    <w:basedOn w:val="Normal"/>
    <w:link w:val="TableLevel2NumberedChar"/>
    <w:uiPriority w:val="99"/>
    <w:rsid w:val="00A45E79"/>
    <w:pPr>
      <w:numPr>
        <w:ilvl w:val="1"/>
        <w:numId w:val="18"/>
      </w:numPr>
    </w:pPr>
    <w:rPr>
      <w:sz w:val="20"/>
    </w:rPr>
  </w:style>
  <w:style w:type="paragraph" w:customStyle="1" w:styleId="TableLevel3-4Bullet">
    <w:name w:val="Table Level 3-4 Bullet"/>
    <w:basedOn w:val="Normal"/>
    <w:uiPriority w:val="99"/>
    <w:rsid w:val="0081578C"/>
    <w:pPr>
      <w:numPr>
        <w:numId w:val="10"/>
      </w:numPr>
    </w:pPr>
  </w:style>
  <w:style w:type="paragraph" w:customStyle="1" w:styleId="TableLevel3-4Indent">
    <w:name w:val="Table Level 3-4 Indent"/>
    <w:basedOn w:val="Normal"/>
    <w:uiPriority w:val="99"/>
    <w:rsid w:val="00CB5A7A"/>
    <w:pPr>
      <w:ind w:left="1296"/>
    </w:pPr>
  </w:style>
  <w:style w:type="paragraph" w:customStyle="1" w:styleId="TableLevel3Numbered">
    <w:name w:val="Table Level 3 Numbered"/>
    <w:basedOn w:val="Normal"/>
    <w:uiPriority w:val="99"/>
    <w:rsid w:val="00A45E79"/>
    <w:pPr>
      <w:numPr>
        <w:ilvl w:val="2"/>
        <w:numId w:val="18"/>
      </w:numPr>
    </w:pPr>
  </w:style>
  <w:style w:type="paragraph" w:customStyle="1" w:styleId="TableText">
    <w:name w:val="Table Text"/>
    <w:aliases w:val="tt,table Body Text,table text"/>
    <w:basedOn w:val="Normal"/>
    <w:link w:val="TableTextChar"/>
    <w:uiPriority w:val="99"/>
    <w:rsid w:val="005633BC"/>
    <w:rPr>
      <w:sz w:val="24"/>
    </w:rPr>
  </w:style>
  <w:style w:type="paragraph" w:customStyle="1" w:styleId="TableTextBullet">
    <w:name w:val="Table Text Bullet"/>
    <w:basedOn w:val="Normal"/>
    <w:uiPriority w:val="99"/>
    <w:rsid w:val="00623395"/>
    <w:pPr>
      <w:numPr>
        <w:numId w:val="11"/>
      </w:numPr>
    </w:pPr>
  </w:style>
  <w:style w:type="paragraph" w:styleId="Title">
    <w:name w:val="Title"/>
    <w:aliases w:val="t"/>
    <w:basedOn w:val="Normal"/>
    <w:next w:val="Normal"/>
    <w:link w:val="TitleChar"/>
    <w:uiPriority w:val="99"/>
    <w:qFormat/>
    <w:rsid w:val="00A5732B"/>
    <w:pPr>
      <w:spacing w:before="240" w:after="240"/>
      <w:jc w:val="center"/>
      <w:outlineLvl w:val="0"/>
    </w:pPr>
    <w:rPr>
      <w:rFonts w:ascii="Cambria" w:hAnsi="Cambria"/>
      <w:b/>
      <w:bCs/>
      <w:kern w:val="28"/>
      <w:sz w:val="32"/>
      <w:szCs w:val="32"/>
    </w:rPr>
  </w:style>
  <w:style w:type="character" w:customStyle="1" w:styleId="TitleChar">
    <w:name w:val="Title Char"/>
    <w:aliases w:val="t Char"/>
    <w:link w:val="Title"/>
    <w:uiPriority w:val="99"/>
    <w:locked/>
    <w:rsid w:val="003458F4"/>
    <w:rPr>
      <w:rFonts w:ascii="Cambria" w:hAnsi="Cambria" w:cs="Times New Roman"/>
      <w:b/>
      <w:bCs/>
      <w:kern w:val="28"/>
      <w:sz w:val="32"/>
      <w:szCs w:val="32"/>
    </w:rPr>
  </w:style>
  <w:style w:type="paragraph" w:styleId="TOC1">
    <w:name w:val="toc 1"/>
    <w:basedOn w:val="Normal"/>
    <w:next w:val="Normal"/>
    <w:uiPriority w:val="39"/>
    <w:rsid w:val="00A5732B"/>
    <w:rPr>
      <w:b/>
      <w:caps/>
    </w:rPr>
  </w:style>
  <w:style w:type="paragraph" w:styleId="TOC2">
    <w:name w:val="toc 2"/>
    <w:basedOn w:val="Normal"/>
    <w:next w:val="Normal"/>
    <w:uiPriority w:val="39"/>
    <w:rsid w:val="00A5732B"/>
    <w:pPr>
      <w:ind w:left="220"/>
    </w:pPr>
  </w:style>
  <w:style w:type="paragraph" w:styleId="TOC3">
    <w:name w:val="toc 3"/>
    <w:basedOn w:val="Normal"/>
    <w:next w:val="Normal"/>
    <w:uiPriority w:val="99"/>
    <w:rsid w:val="00A5732B"/>
    <w:pPr>
      <w:ind w:left="440"/>
    </w:pPr>
  </w:style>
  <w:style w:type="paragraph" w:customStyle="1" w:styleId="Bullet1Body">
    <w:name w:val="Bullet 1 Body"/>
    <w:basedOn w:val="BodyTextBullet"/>
    <w:next w:val="BodyTextBullet"/>
    <w:uiPriority w:val="99"/>
    <w:semiHidden/>
    <w:rsid w:val="00424CEB"/>
  </w:style>
  <w:style w:type="paragraph" w:customStyle="1" w:styleId="TableLevel4Numbered">
    <w:name w:val="Table Level 4 Numbered"/>
    <w:basedOn w:val="Normal"/>
    <w:uiPriority w:val="99"/>
    <w:rsid w:val="00A45E79"/>
    <w:pPr>
      <w:numPr>
        <w:ilvl w:val="3"/>
        <w:numId w:val="18"/>
      </w:numPr>
    </w:pPr>
  </w:style>
  <w:style w:type="paragraph" w:customStyle="1" w:styleId="TableLevel6Numbered">
    <w:name w:val="Table Level 6 Numbered"/>
    <w:basedOn w:val="Normal"/>
    <w:uiPriority w:val="99"/>
    <w:rsid w:val="00A45E79"/>
    <w:pPr>
      <w:numPr>
        <w:ilvl w:val="5"/>
        <w:numId w:val="18"/>
      </w:numPr>
    </w:pPr>
  </w:style>
  <w:style w:type="paragraph" w:customStyle="1" w:styleId="TableLevel7Numbered">
    <w:name w:val="Table Level 7 Numbered"/>
    <w:basedOn w:val="Normal"/>
    <w:uiPriority w:val="99"/>
    <w:rsid w:val="00A45E79"/>
    <w:pPr>
      <w:numPr>
        <w:ilvl w:val="6"/>
        <w:numId w:val="18"/>
      </w:numPr>
    </w:pPr>
  </w:style>
  <w:style w:type="paragraph" w:customStyle="1" w:styleId="TableLevel8Numbered">
    <w:name w:val="Table Level 8 Numbered"/>
    <w:basedOn w:val="Normal"/>
    <w:uiPriority w:val="99"/>
    <w:rsid w:val="00A45E79"/>
    <w:pPr>
      <w:numPr>
        <w:ilvl w:val="7"/>
        <w:numId w:val="18"/>
      </w:numPr>
    </w:pPr>
  </w:style>
  <w:style w:type="paragraph" w:styleId="ListNumber">
    <w:name w:val="List Number"/>
    <w:basedOn w:val="Normal"/>
    <w:uiPriority w:val="99"/>
    <w:semiHidden/>
    <w:rsid w:val="00AB5251"/>
    <w:pPr>
      <w:numPr>
        <w:numId w:val="4"/>
      </w:numPr>
      <w:tabs>
        <w:tab w:val="clear" w:pos="720"/>
        <w:tab w:val="num" w:pos="1440"/>
      </w:tabs>
      <w:ind w:left="360"/>
    </w:pPr>
  </w:style>
  <w:style w:type="paragraph" w:styleId="ListNumber2">
    <w:name w:val="List Number 2"/>
    <w:basedOn w:val="Normal"/>
    <w:uiPriority w:val="99"/>
    <w:semiHidden/>
    <w:rsid w:val="00AB5251"/>
    <w:pPr>
      <w:numPr>
        <w:numId w:val="1"/>
      </w:numPr>
      <w:tabs>
        <w:tab w:val="clear" w:pos="360"/>
        <w:tab w:val="num" w:pos="720"/>
        <w:tab w:val="num" w:pos="1080"/>
      </w:tabs>
      <w:ind w:left="720"/>
    </w:pPr>
  </w:style>
  <w:style w:type="paragraph" w:styleId="ListNumber3">
    <w:name w:val="List Number 3"/>
    <w:basedOn w:val="Normal"/>
    <w:uiPriority w:val="99"/>
    <w:semiHidden/>
    <w:rsid w:val="00AB5251"/>
    <w:pPr>
      <w:numPr>
        <w:numId w:val="2"/>
      </w:numPr>
      <w:tabs>
        <w:tab w:val="num" w:pos="1080"/>
        <w:tab w:val="num" w:pos="1440"/>
      </w:tabs>
      <w:ind w:left="1080"/>
    </w:pPr>
  </w:style>
  <w:style w:type="paragraph" w:styleId="ListNumber4">
    <w:name w:val="List Number 4"/>
    <w:basedOn w:val="Normal"/>
    <w:uiPriority w:val="99"/>
    <w:semiHidden/>
    <w:rsid w:val="00AB5251"/>
    <w:pPr>
      <w:numPr>
        <w:numId w:val="3"/>
      </w:numPr>
      <w:tabs>
        <w:tab w:val="clear" w:pos="360"/>
        <w:tab w:val="num" w:pos="1080"/>
        <w:tab w:val="num" w:pos="1440"/>
        <w:tab w:val="num" w:pos="1627"/>
      </w:tabs>
      <w:ind w:left="1440"/>
    </w:pPr>
  </w:style>
  <w:style w:type="paragraph" w:styleId="ListBullet3">
    <w:name w:val="List Bullet 3"/>
    <w:basedOn w:val="Normal"/>
    <w:uiPriority w:val="99"/>
    <w:semiHidden/>
    <w:rsid w:val="00AB5251"/>
    <w:pPr>
      <w:numPr>
        <w:numId w:val="5"/>
      </w:numPr>
      <w:tabs>
        <w:tab w:val="num" w:pos="720"/>
      </w:tabs>
    </w:pPr>
  </w:style>
  <w:style w:type="paragraph" w:styleId="ListBullet4">
    <w:name w:val="List Bullet 4"/>
    <w:basedOn w:val="Normal"/>
    <w:uiPriority w:val="99"/>
    <w:semiHidden/>
    <w:rsid w:val="00AB5251"/>
    <w:pPr>
      <w:numPr>
        <w:numId w:val="6"/>
      </w:numPr>
      <w:tabs>
        <w:tab w:val="num" w:pos="720"/>
        <w:tab w:val="num" w:pos="1080"/>
      </w:tabs>
    </w:pPr>
  </w:style>
  <w:style w:type="paragraph" w:styleId="ListContinue">
    <w:name w:val="List Continue"/>
    <w:basedOn w:val="Normal"/>
    <w:uiPriority w:val="99"/>
    <w:semiHidden/>
    <w:rsid w:val="00C73BB2"/>
    <w:pPr>
      <w:ind w:left="360"/>
    </w:pPr>
  </w:style>
  <w:style w:type="paragraph" w:styleId="ListContinue2">
    <w:name w:val="List Continue 2"/>
    <w:basedOn w:val="Normal"/>
    <w:uiPriority w:val="99"/>
    <w:semiHidden/>
    <w:rsid w:val="00C73BB2"/>
    <w:pPr>
      <w:ind w:left="720"/>
    </w:pPr>
  </w:style>
  <w:style w:type="paragraph" w:styleId="ListContinue3">
    <w:name w:val="List Continue 3"/>
    <w:basedOn w:val="Normal"/>
    <w:uiPriority w:val="99"/>
    <w:semiHidden/>
    <w:rsid w:val="00C73BB2"/>
    <w:pPr>
      <w:ind w:left="1080"/>
    </w:pPr>
  </w:style>
  <w:style w:type="paragraph" w:styleId="ListContinue4">
    <w:name w:val="List Continue 4"/>
    <w:basedOn w:val="Normal"/>
    <w:uiPriority w:val="99"/>
    <w:semiHidden/>
    <w:rsid w:val="004A7428"/>
    <w:pPr>
      <w:ind w:left="1440"/>
    </w:pPr>
  </w:style>
  <w:style w:type="character" w:customStyle="1" w:styleId="strikeout">
    <w:name w:val="strikeout"/>
    <w:uiPriority w:val="99"/>
    <w:rsid w:val="005865AD"/>
    <w:rPr>
      <w:rFonts w:cs="Times New Roman"/>
      <w:strike/>
      <w:color w:val="FF0000"/>
    </w:rPr>
  </w:style>
  <w:style w:type="paragraph" w:customStyle="1" w:styleId="Revised-New">
    <w:name w:val="Revised - New"/>
    <w:basedOn w:val="Normal"/>
    <w:link w:val="Revised-NewChar"/>
    <w:uiPriority w:val="99"/>
    <w:rsid w:val="005865AD"/>
    <w:rPr>
      <w:rFonts w:ascii="Arial" w:hAnsi="Arial"/>
      <w:b/>
      <w:color w:val="333399"/>
      <w:szCs w:val="22"/>
    </w:rPr>
  </w:style>
  <w:style w:type="character" w:customStyle="1" w:styleId="Revised-NewChar">
    <w:name w:val="Revised - New Char"/>
    <w:link w:val="Revised-New"/>
    <w:uiPriority w:val="99"/>
    <w:locked/>
    <w:rsid w:val="005865AD"/>
    <w:rPr>
      <w:rFonts w:ascii="Arial" w:hAnsi="Arial" w:cs="Times New Roman"/>
      <w:b/>
      <w:color w:val="333399"/>
      <w:sz w:val="22"/>
      <w:szCs w:val="22"/>
      <w:lang w:val="en-US" w:eastAsia="en-US" w:bidi="ar-SA"/>
    </w:rPr>
  </w:style>
  <w:style w:type="paragraph" w:customStyle="1" w:styleId="Heading5Numbered">
    <w:name w:val="Heading 5 Numbered"/>
    <w:basedOn w:val="Normal"/>
    <w:uiPriority w:val="99"/>
    <w:rsid w:val="003F5772"/>
    <w:pPr>
      <w:numPr>
        <w:ilvl w:val="4"/>
        <w:numId w:val="12"/>
      </w:numPr>
    </w:pPr>
    <w:rPr>
      <w:b/>
    </w:rPr>
  </w:style>
  <w:style w:type="character" w:styleId="PageNumber">
    <w:name w:val="page number"/>
    <w:uiPriority w:val="99"/>
    <w:rsid w:val="00DB1F67"/>
    <w:rPr>
      <w:rFonts w:cs="Times New Roman"/>
    </w:rPr>
  </w:style>
  <w:style w:type="paragraph" w:customStyle="1" w:styleId="TableTextItalic">
    <w:name w:val="Table Text Italic"/>
    <w:basedOn w:val="TableText"/>
    <w:uiPriority w:val="99"/>
    <w:rsid w:val="009C18D9"/>
    <w:rPr>
      <w:i/>
    </w:rPr>
  </w:style>
  <w:style w:type="paragraph" w:customStyle="1" w:styleId="ReverseIndent">
    <w:name w:val="Reverse Indent"/>
    <w:uiPriority w:val="99"/>
    <w:rsid w:val="00E925A1"/>
    <w:pPr>
      <w:spacing w:before="120" w:after="120"/>
      <w:ind w:left="720" w:hanging="504"/>
    </w:pPr>
    <w:rPr>
      <w:sz w:val="22"/>
      <w:szCs w:val="24"/>
    </w:rPr>
  </w:style>
  <w:style w:type="character" w:customStyle="1" w:styleId="RevisedtoNormal">
    <w:name w:val="Revised to Normal"/>
    <w:uiPriority w:val="99"/>
    <w:rsid w:val="00D82865"/>
  </w:style>
  <w:style w:type="paragraph" w:customStyle="1" w:styleId="Bullet1Level1">
    <w:name w:val="Bullet 1 Level 1"/>
    <w:basedOn w:val="Normal"/>
    <w:uiPriority w:val="99"/>
    <w:rsid w:val="00B85486"/>
    <w:pPr>
      <w:tabs>
        <w:tab w:val="num" w:pos="1440"/>
      </w:tabs>
      <w:ind w:left="1440" w:hanging="360"/>
    </w:pPr>
  </w:style>
  <w:style w:type="paragraph" w:customStyle="1" w:styleId="Bullet1BodyText">
    <w:name w:val="Bullet 1 Body Text"/>
    <w:basedOn w:val="Normal"/>
    <w:uiPriority w:val="99"/>
    <w:rsid w:val="00B85486"/>
    <w:pPr>
      <w:numPr>
        <w:numId w:val="19"/>
      </w:numPr>
      <w:spacing w:before="240" w:after="240"/>
    </w:pPr>
  </w:style>
  <w:style w:type="paragraph" w:customStyle="1" w:styleId="TableLevel1Text">
    <w:name w:val="Table Level 1 Text"/>
    <w:basedOn w:val="BodyText"/>
    <w:autoRedefine/>
    <w:uiPriority w:val="99"/>
    <w:rsid w:val="00B85486"/>
    <w:pPr>
      <w:ind w:left="0"/>
    </w:pPr>
    <w:rPr>
      <w:iCs/>
    </w:rPr>
  </w:style>
  <w:style w:type="paragraph" w:customStyle="1" w:styleId="TableLevel2Text">
    <w:name w:val="Table Level 2 Text"/>
    <w:basedOn w:val="BodyText"/>
    <w:autoRedefine/>
    <w:uiPriority w:val="99"/>
    <w:rsid w:val="00B85486"/>
    <w:pPr>
      <w:ind w:left="1008"/>
    </w:pPr>
  </w:style>
  <w:style w:type="paragraph" w:customStyle="1" w:styleId="TableLevel3Text">
    <w:name w:val="Table Level 3 Text"/>
    <w:basedOn w:val="BodyText"/>
    <w:autoRedefine/>
    <w:uiPriority w:val="99"/>
    <w:rsid w:val="00B85486"/>
    <w:pPr>
      <w:ind w:left="1296"/>
    </w:pPr>
  </w:style>
  <w:style w:type="paragraph" w:customStyle="1" w:styleId="TableLevel4Text">
    <w:name w:val="Table Level 4 Text"/>
    <w:basedOn w:val="BodyText"/>
    <w:autoRedefine/>
    <w:uiPriority w:val="99"/>
    <w:rsid w:val="00B85486"/>
    <w:pPr>
      <w:ind w:left="1440"/>
    </w:pPr>
  </w:style>
  <w:style w:type="paragraph" w:styleId="BodyTextIndent2">
    <w:name w:val="Body Text Indent 2"/>
    <w:basedOn w:val="Normal"/>
    <w:link w:val="BodyTextIndent2Char"/>
    <w:uiPriority w:val="99"/>
    <w:rsid w:val="00B85486"/>
    <w:pPr>
      <w:spacing w:line="480" w:lineRule="auto"/>
      <w:ind w:left="360"/>
    </w:pPr>
    <w:rPr>
      <w:sz w:val="24"/>
    </w:rPr>
  </w:style>
  <w:style w:type="character" w:customStyle="1" w:styleId="BodyTextIndent2Char">
    <w:name w:val="Body Text Indent 2 Char"/>
    <w:link w:val="BodyTextIndent2"/>
    <w:uiPriority w:val="99"/>
    <w:semiHidden/>
    <w:locked/>
    <w:rsid w:val="003458F4"/>
    <w:rPr>
      <w:rFonts w:cs="Times New Roman"/>
      <w:sz w:val="24"/>
      <w:szCs w:val="24"/>
    </w:rPr>
  </w:style>
  <w:style w:type="character" w:customStyle="1" w:styleId="TableLevel2NumberedChar">
    <w:name w:val="Table Level 2 Numbered Char"/>
    <w:link w:val="TableLevel2Numbered"/>
    <w:uiPriority w:val="99"/>
    <w:locked/>
    <w:rsid w:val="00B85486"/>
    <w:rPr>
      <w:szCs w:val="24"/>
    </w:rPr>
  </w:style>
  <w:style w:type="character" w:customStyle="1" w:styleId="TableTextChar">
    <w:name w:val="Table Text Char"/>
    <w:aliases w:val="tt Char,table Body Text Char,table text Char"/>
    <w:link w:val="TableText"/>
    <w:uiPriority w:val="99"/>
    <w:locked/>
    <w:rsid w:val="00B85486"/>
    <w:rPr>
      <w:rFonts w:cs="Times New Roman"/>
      <w:sz w:val="24"/>
      <w:szCs w:val="24"/>
      <w:lang w:val="en-US" w:eastAsia="en-US" w:bidi="ar-SA"/>
    </w:rPr>
  </w:style>
  <w:style w:type="paragraph" w:styleId="FootnoteText">
    <w:name w:val="footnote text"/>
    <w:basedOn w:val="Normal"/>
    <w:link w:val="FootnoteTextChar"/>
    <w:uiPriority w:val="99"/>
    <w:semiHidden/>
    <w:rsid w:val="00B85486"/>
    <w:rPr>
      <w:sz w:val="20"/>
      <w:szCs w:val="20"/>
    </w:rPr>
  </w:style>
  <w:style w:type="character" w:customStyle="1" w:styleId="FootnoteTextChar">
    <w:name w:val="Footnote Text Char"/>
    <w:link w:val="FootnoteText"/>
    <w:uiPriority w:val="99"/>
    <w:semiHidden/>
    <w:locked/>
    <w:rsid w:val="003458F4"/>
    <w:rPr>
      <w:rFonts w:cs="Times New Roman"/>
      <w:sz w:val="20"/>
      <w:szCs w:val="20"/>
    </w:rPr>
  </w:style>
  <w:style w:type="character" w:styleId="FootnoteReference">
    <w:name w:val="footnote reference"/>
    <w:uiPriority w:val="99"/>
    <w:semiHidden/>
    <w:rsid w:val="00B85486"/>
    <w:rPr>
      <w:rFonts w:cs="Times New Roman"/>
      <w:vertAlign w:val="superscript"/>
    </w:rPr>
  </w:style>
  <w:style w:type="character" w:customStyle="1" w:styleId="Heading2NumberedChar">
    <w:name w:val="Heading 2 Numbered Char"/>
    <w:link w:val="Heading2Numbered"/>
    <w:uiPriority w:val="99"/>
    <w:locked/>
    <w:rsid w:val="00B85486"/>
    <w:rPr>
      <w:rFonts w:ascii="Times New Roman Bold" w:hAnsi="Times New Roman Bold"/>
      <w:b/>
      <w:sz w:val="28"/>
      <w:szCs w:val="24"/>
    </w:rPr>
  </w:style>
  <w:style w:type="paragraph" w:customStyle="1" w:styleId="Text3">
    <w:name w:val="Text 3"/>
    <w:basedOn w:val="Heading3"/>
    <w:link w:val="Text3Char"/>
    <w:uiPriority w:val="99"/>
    <w:rsid w:val="00B85486"/>
    <w:pPr>
      <w:keepNext w:val="0"/>
      <w:keepLines w:val="0"/>
      <w:spacing w:before="0"/>
      <w:ind w:left="1296"/>
      <w:outlineLvl w:val="9"/>
    </w:pPr>
    <w:rPr>
      <w:rFonts w:ascii="Times New Roman" w:hAnsi="Times New Roman"/>
      <w:b w:val="0"/>
      <w:bCs/>
      <w:iCs/>
      <w:sz w:val="22"/>
      <w:szCs w:val="20"/>
    </w:rPr>
  </w:style>
  <w:style w:type="character" w:styleId="CommentReference">
    <w:name w:val="annotation reference"/>
    <w:uiPriority w:val="99"/>
    <w:semiHidden/>
    <w:rsid w:val="00B85486"/>
    <w:rPr>
      <w:rFonts w:cs="Times New Roman"/>
      <w:sz w:val="16"/>
      <w:szCs w:val="16"/>
    </w:rPr>
  </w:style>
  <w:style w:type="paragraph" w:styleId="CommentText">
    <w:name w:val="annotation text"/>
    <w:basedOn w:val="Normal"/>
    <w:link w:val="CommentTextChar"/>
    <w:uiPriority w:val="99"/>
    <w:rsid w:val="00B85486"/>
    <w:rPr>
      <w:sz w:val="20"/>
      <w:szCs w:val="20"/>
    </w:rPr>
  </w:style>
  <w:style w:type="character" w:customStyle="1" w:styleId="CommentTextChar">
    <w:name w:val="Comment Text Char"/>
    <w:link w:val="CommentText"/>
    <w:uiPriority w:val="99"/>
    <w:locked/>
    <w:rsid w:val="003458F4"/>
    <w:rPr>
      <w:rFonts w:cs="Times New Roman"/>
      <w:sz w:val="20"/>
      <w:szCs w:val="20"/>
    </w:rPr>
  </w:style>
  <w:style w:type="paragraph" w:styleId="CommentSubject">
    <w:name w:val="annotation subject"/>
    <w:basedOn w:val="CommentText"/>
    <w:next w:val="CommentText"/>
    <w:link w:val="CommentSubjectChar"/>
    <w:uiPriority w:val="99"/>
    <w:semiHidden/>
    <w:rsid w:val="00B85486"/>
    <w:rPr>
      <w:b/>
      <w:bCs/>
    </w:rPr>
  </w:style>
  <w:style w:type="character" w:customStyle="1" w:styleId="CommentSubjectChar">
    <w:name w:val="Comment Subject Char"/>
    <w:link w:val="CommentSubject"/>
    <w:uiPriority w:val="99"/>
    <w:semiHidden/>
    <w:locked/>
    <w:rsid w:val="003458F4"/>
    <w:rPr>
      <w:rFonts w:cs="Times New Roman"/>
      <w:b/>
      <w:bCs/>
      <w:sz w:val="20"/>
      <w:szCs w:val="20"/>
    </w:rPr>
  </w:style>
  <w:style w:type="paragraph" w:styleId="DocumentMap">
    <w:name w:val="Document Map"/>
    <w:basedOn w:val="Normal"/>
    <w:link w:val="DocumentMapChar"/>
    <w:uiPriority w:val="99"/>
    <w:semiHidden/>
    <w:rsid w:val="00B85486"/>
    <w:pPr>
      <w:shd w:val="clear" w:color="auto" w:fill="000080"/>
    </w:pPr>
    <w:rPr>
      <w:sz w:val="2"/>
      <w:szCs w:val="20"/>
    </w:rPr>
  </w:style>
  <w:style w:type="character" w:customStyle="1" w:styleId="DocumentMapChar">
    <w:name w:val="Document Map Char"/>
    <w:link w:val="DocumentMap"/>
    <w:uiPriority w:val="99"/>
    <w:semiHidden/>
    <w:locked/>
    <w:rsid w:val="003458F4"/>
    <w:rPr>
      <w:rFonts w:cs="Times New Roman"/>
      <w:sz w:val="2"/>
    </w:rPr>
  </w:style>
  <w:style w:type="character" w:customStyle="1" w:styleId="Text3Char">
    <w:name w:val="Text 3 Char"/>
    <w:link w:val="Text3"/>
    <w:uiPriority w:val="99"/>
    <w:locked/>
    <w:rsid w:val="00B85486"/>
    <w:rPr>
      <w:rFonts w:cs="Times New Roman"/>
      <w:sz w:val="22"/>
      <w:lang w:val="en-US" w:eastAsia="en-US" w:bidi="ar-SA"/>
    </w:rPr>
  </w:style>
  <w:style w:type="paragraph" w:customStyle="1" w:styleId="Text2">
    <w:name w:val="Text 2"/>
    <w:link w:val="Text2Char"/>
    <w:uiPriority w:val="99"/>
    <w:rsid w:val="00B85486"/>
    <w:pPr>
      <w:spacing w:before="120" w:after="120"/>
      <w:ind w:left="720"/>
    </w:pPr>
    <w:rPr>
      <w:sz w:val="22"/>
    </w:rPr>
  </w:style>
  <w:style w:type="character" w:customStyle="1" w:styleId="Text2Char">
    <w:name w:val="Text 2 Char"/>
    <w:link w:val="Text2"/>
    <w:uiPriority w:val="99"/>
    <w:locked/>
    <w:rsid w:val="00B85486"/>
    <w:rPr>
      <w:sz w:val="22"/>
      <w:lang w:val="en-US" w:eastAsia="en-US" w:bidi="ar-SA"/>
    </w:rPr>
  </w:style>
  <w:style w:type="character" w:styleId="FollowedHyperlink">
    <w:name w:val="FollowedHyperlink"/>
    <w:uiPriority w:val="99"/>
    <w:rsid w:val="00B85486"/>
    <w:rPr>
      <w:rFonts w:cs="Times New Roman"/>
      <w:color w:val="800080"/>
      <w:u w:val="single"/>
    </w:rPr>
  </w:style>
  <w:style w:type="paragraph" w:styleId="BodyText2">
    <w:name w:val="Body Text 2"/>
    <w:basedOn w:val="Normal"/>
    <w:link w:val="BodyText2Char"/>
    <w:uiPriority w:val="99"/>
    <w:rsid w:val="00B85486"/>
    <w:pPr>
      <w:spacing w:line="480" w:lineRule="auto"/>
    </w:pPr>
    <w:rPr>
      <w:sz w:val="24"/>
    </w:rPr>
  </w:style>
  <w:style w:type="character" w:customStyle="1" w:styleId="BodyText2Char">
    <w:name w:val="Body Text 2 Char"/>
    <w:link w:val="BodyText2"/>
    <w:uiPriority w:val="99"/>
    <w:semiHidden/>
    <w:locked/>
    <w:rsid w:val="003458F4"/>
    <w:rPr>
      <w:rFonts w:cs="Times New Roman"/>
      <w:sz w:val="24"/>
      <w:szCs w:val="24"/>
    </w:rPr>
  </w:style>
  <w:style w:type="character" w:customStyle="1" w:styleId="TableLevel1NumberedChar">
    <w:name w:val="Table Level 1 Numbered Char"/>
    <w:link w:val="TableLevel1Numbered"/>
    <w:uiPriority w:val="99"/>
    <w:locked/>
    <w:rsid w:val="00B85486"/>
    <w:rPr>
      <w:szCs w:val="24"/>
    </w:rPr>
  </w:style>
  <w:style w:type="paragraph" w:customStyle="1" w:styleId="Style">
    <w:name w:val="Style"/>
    <w:basedOn w:val="Normal"/>
    <w:uiPriority w:val="99"/>
    <w:rsid w:val="00B85486"/>
    <w:pPr>
      <w:spacing w:before="0" w:after="160" w:line="240" w:lineRule="exact"/>
    </w:pPr>
    <w:rPr>
      <w:rFonts w:ascii="Arial" w:hAnsi="Arial" w:cs="Arial"/>
      <w:b/>
      <w:bCs/>
      <w:sz w:val="24"/>
    </w:rPr>
  </w:style>
  <w:style w:type="paragraph" w:customStyle="1" w:styleId="Bullet1">
    <w:name w:val="Bullet 1"/>
    <w:aliases w:val="bu1,bu1 + Before:  0 pt,After:  6 pt"/>
    <w:link w:val="Bullet1Char"/>
    <w:uiPriority w:val="99"/>
    <w:rsid w:val="00B85486"/>
    <w:pPr>
      <w:numPr>
        <w:numId w:val="24"/>
      </w:numPr>
      <w:spacing w:before="60" w:after="60"/>
    </w:pPr>
    <w:rPr>
      <w:rFonts w:ascii="Arial" w:hAnsi="Arial"/>
      <w:sz w:val="22"/>
      <w:szCs w:val="22"/>
    </w:rPr>
  </w:style>
  <w:style w:type="character" w:customStyle="1" w:styleId="Bullet1Char">
    <w:name w:val="Bullet 1 Char"/>
    <w:link w:val="Bullet1"/>
    <w:uiPriority w:val="99"/>
    <w:locked/>
    <w:rsid w:val="00B85486"/>
    <w:rPr>
      <w:rFonts w:ascii="Arial" w:hAnsi="Arial"/>
      <w:sz w:val="22"/>
      <w:szCs w:val="22"/>
      <w:lang w:val="en-US" w:eastAsia="en-US" w:bidi="ar-SA"/>
    </w:rPr>
  </w:style>
  <w:style w:type="paragraph" w:customStyle="1" w:styleId="CellText">
    <w:name w:val="Cell Text"/>
    <w:autoRedefine/>
    <w:uiPriority w:val="99"/>
    <w:rsid w:val="00B85486"/>
    <w:pPr>
      <w:spacing w:before="2"/>
      <w:ind w:left="-14" w:firstLine="14"/>
    </w:pPr>
    <w:rPr>
      <w:rFonts w:ascii="Arial" w:hAnsi="Arial" w:cs="Arial"/>
      <w:sz w:val="18"/>
      <w:szCs w:val="18"/>
    </w:rPr>
  </w:style>
  <w:style w:type="paragraph" w:customStyle="1" w:styleId="Bullet2BodyText">
    <w:name w:val="Bullet 2 Body Text"/>
    <w:basedOn w:val="Bullet1BodyText"/>
    <w:uiPriority w:val="99"/>
    <w:rsid w:val="00B85486"/>
    <w:pPr>
      <w:numPr>
        <w:numId w:val="20"/>
      </w:numPr>
      <w:tabs>
        <w:tab w:val="clear" w:pos="1800"/>
        <w:tab w:val="num" w:pos="1080"/>
        <w:tab w:val="num" w:pos="1260"/>
      </w:tabs>
      <w:spacing w:before="40" w:after="40"/>
      <w:ind w:left="1260" w:hanging="540"/>
    </w:pPr>
    <w:rPr>
      <w:rFonts w:ascii="Arial" w:hAnsi="Arial" w:cs="Arial"/>
      <w:spacing w:val="-4"/>
      <w:szCs w:val="22"/>
      <w:lang w:val="en-GB"/>
    </w:rPr>
  </w:style>
  <w:style w:type="paragraph" w:customStyle="1" w:styleId="List1">
    <w:name w:val="List 1"/>
    <w:link w:val="List1Char"/>
    <w:uiPriority w:val="99"/>
    <w:rsid w:val="00B85486"/>
    <w:pPr>
      <w:numPr>
        <w:numId w:val="21"/>
      </w:numPr>
      <w:spacing w:after="120" w:line="260" w:lineRule="exact"/>
    </w:pPr>
    <w:rPr>
      <w:rFonts w:ascii="Arial" w:hAnsi="Arial" w:cs="Arial"/>
      <w:sz w:val="16"/>
      <w:szCs w:val="16"/>
    </w:rPr>
  </w:style>
  <w:style w:type="character" w:customStyle="1" w:styleId="List1Char">
    <w:name w:val="List 1 Char"/>
    <w:link w:val="List1"/>
    <w:uiPriority w:val="99"/>
    <w:locked/>
    <w:rsid w:val="00B85486"/>
    <w:rPr>
      <w:rFonts w:ascii="Arial" w:hAnsi="Arial" w:cs="Arial"/>
      <w:sz w:val="16"/>
      <w:szCs w:val="16"/>
      <w:lang w:val="en-US" w:eastAsia="en-US" w:bidi="ar-SA"/>
    </w:rPr>
  </w:style>
  <w:style w:type="paragraph" w:customStyle="1" w:styleId="CharChar1CharCharCharCharCharCharChar">
    <w:name w:val="Char Char1 Char Char Char Char Char Char Char"/>
    <w:basedOn w:val="Normal"/>
    <w:uiPriority w:val="99"/>
    <w:rsid w:val="00B85486"/>
    <w:pPr>
      <w:spacing w:before="0" w:after="160" w:line="240" w:lineRule="exact"/>
    </w:pPr>
    <w:rPr>
      <w:rFonts w:ascii="Verdana" w:hAnsi="Verdana"/>
      <w:sz w:val="20"/>
      <w:szCs w:val="20"/>
      <w:lang w:val="en-GB"/>
    </w:rPr>
  </w:style>
  <w:style w:type="paragraph" w:styleId="Caption">
    <w:name w:val="caption"/>
    <w:basedOn w:val="Normal"/>
    <w:next w:val="Normal"/>
    <w:uiPriority w:val="99"/>
    <w:qFormat/>
    <w:rsid w:val="00B85486"/>
    <w:pPr>
      <w:jc w:val="center"/>
    </w:pPr>
    <w:rPr>
      <w:rFonts w:ascii="Arial" w:eastAsia="Arial Unicode MS" w:hAnsi="Arial"/>
      <w:b/>
      <w:bCs/>
      <w:i/>
      <w:sz w:val="18"/>
      <w:szCs w:val="20"/>
      <w:lang w:eastAsia="ja-JP"/>
    </w:rPr>
  </w:style>
  <w:style w:type="paragraph" w:customStyle="1" w:styleId="BodyText1">
    <w:name w:val="Body Text1"/>
    <w:link w:val="BodytextChar0"/>
    <w:uiPriority w:val="99"/>
    <w:rsid w:val="00B85486"/>
    <w:pPr>
      <w:spacing w:before="240" w:after="60"/>
    </w:pPr>
    <w:rPr>
      <w:rFonts w:eastAsia="Arial Unicode MS"/>
      <w:sz w:val="22"/>
      <w:szCs w:val="22"/>
      <w:lang w:eastAsia="ja-JP"/>
    </w:rPr>
  </w:style>
  <w:style w:type="paragraph" w:customStyle="1" w:styleId="AKBullet1">
    <w:name w:val="AK Bullet 1"/>
    <w:basedOn w:val="Normal"/>
    <w:uiPriority w:val="99"/>
    <w:rsid w:val="00B85486"/>
    <w:pPr>
      <w:numPr>
        <w:numId w:val="22"/>
      </w:numPr>
      <w:spacing w:before="80" w:after="80" w:line="288" w:lineRule="auto"/>
    </w:pPr>
    <w:rPr>
      <w:rFonts w:ascii="Verdana" w:hAnsi="Verdana" w:cs="Arial"/>
      <w:sz w:val="16"/>
    </w:rPr>
  </w:style>
  <w:style w:type="character" w:customStyle="1" w:styleId="BodytextChar0">
    <w:name w:val="Body text Char"/>
    <w:link w:val="BodyText1"/>
    <w:uiPriority w:val="99"/>
    <w:locked/>
    <w:rsid w:val="00B85486"/>
    <w:rPr>
      <w:rFonts w:eastAsia="Arial Unicode MS"/>
      <w:sz w:val="22"/>
      <w:szCs w:val="22"/>
      <w:lang w:val="en-US" w:eastAsia="ja-JP" w:bidi="ar-SA"/>
    </w:rPr>
  </w:style>
  <w:style w:type="paragraph" w:styleId="PlainText">
    <w:name w:val="Plain Text"/>
    <w:basedOn w:val="Normal"/>
    <w:link w:val="PlainTextChar"/>
    <w:uiPriority w:val="99"/>
    <w:semiHidden/>
    <w:rsid w:val="00B85486"/>
    <w:pPr>
      <w:spacing w:before="0" w:after="0"/>
    </w:pPr>
    <w:rPr>
      <w:rFonts w:ascii="Courier New" w:hAnsi="Courier New"/>
      <w:sz w:val="20"/>
      <w:szCs w:val="20"/>
    </w:rPr>
  </w:style>
  <w:style w:type="character" w:customStyle="1" w:styleId="PlainTextChar">
    <w:name w:val="Plain Text Char"/>
    <w:link w:val="PlainText"/>
    <w:uiPriority w:val="99"/>
    <w:semiHidden/>
    <w:locked/>
    <w:rsid w:val="003458F4"/>
    <w:rPr>
      <w:rFonts w:ascii="Courier New" w:hAnsi="Courier New" w:cs="Courier New"/>
      <w:sz w:val="20"/>
      <w:szCs w:val="20"/>
    </w:rPr>
  </w:style>
  <w:style w:type="paragraph" w:customStyle="1" w:styleId="Bullet1Framework">
    <w:name w:val="Bullet 1 Framework"/>
    <w:basedOn w:val="Bullet1"/>
    <w:link w:val="Bullet1FrameworkChar"/>
    <w:uiPriority w:val="99"/>
    <w:rsid w:val="00B85486"/>
    <w:pPr>
      <w:numPr>
        <w:numId w:val="23"/>
      </w:numPr>
      <w:spacing w:before="0" w:after="120"/>
    </w:pPr>
    <w:rPr>
      <w:rFonts w:eastAsia="Arial Unicode MS"/>
      <w:sz w:val="21"/>
      <w:szCs w:val="21"/>
    </w:rPr>
  </w:style>
  <w:style w:type="character" w:customStyle="1" w:styleId="Bullet1FrameworkChar">
    <w:name w:val="Bullet 1 Framework Char"/>
    <w:link w:val="Bullet1Framework"/>
    <w:uiPriority w:val="99"/>
    <w:locked/>
    <w:rsid w:val="00B85486"/>
    <w:rPr>
      <w:rFonts w:ascii="Arial" w:eastAsia="Arial Unicode MS" w:hAnsi="Arial" w:cs="Arial"/>
      <w:sz w:val="21"/>
      <w:szCs w:val="21"/>
    </w:rPr>
  </w:style>
  <w:style w:type="paragraph" w:customStyle="1" w:styleId="CharChar1CharCharCharCharCharCharCharCharChar1Char">
    <w:name w:val="Char Char1 Char Char Char Char Char Char Char Char Char1 Char"/>
    <w:basedOn w:val="Normal"/>
    <w:uiPriority w:val="99"/>
    <w:rsid w:val="00B85486"/>
    <w:pPr>
      <w:spacing w:before="0" w:after="160" w:line="240" w:lineRule="exact"/>
    </w:pPr>
    <w:rPr>
      <w:rFonts w:ascii="Verdana" w:hAnsi="Verdana"/>
      <w:sz w:val="20"/>
      <w:szCs w:val="20"/>
      <w:lang w:val="en-GB"/>
    </w:rPr>
  </w:style>
  <w:style w:type="character" w:customStyle="1" w:styleId="texte">
    <w:name w:val="texte"/>
    <w:uiPriority w:val="99"/>
    <w:rsid w:val="00B85486"/>
    <w:rPr>
      <w:rFonts w:cs="Times New Roman"/>
    </w:rPr>
  </w:style>
  <w:style w:type="character" w:customStyle="1" w:styleId="CharChar2">
    <w:name w:val="Char Char2"/>
    <w:uiPriority w:val="99"/>
    <w:rsid w:val="00B85486"/>
    <w:rPr>
      <w:rFonts w:ascii="Times New Roman Bold" w:hAnsi="Times New Roman Bold" w:cs="Arial"/>
      <w:b/>
      <w:i/>
      <w:iCs/>
      <w:kern w:val="32"/>
      <w:sz w:val="28"/>
      <w:szCs w:val="28"/>
      <w:lang w:val="en-US" w:eastAsia="en-US" w:bidi="ar-SA"/>
    </w:rPr>
  </w:style>
  <w:style w:type="character" w:customStyle="1" w:styleId="TagRefNo">
    <w:name w:val="Tag_RefNo"/>
    <w:uiPriority w:val="99"/>
    <w:rsid w:val="007516F6"/>
    <w:rPr>
      <w:rFonts w:cs="Times New Roman"/>
      <w:b/>
      <w:vanish/>
      <w:color w:val="FFFFFF"/>
      <w:shd w:val="clear" w:color="auto" w:fill="99CCFF"/>
    </w:rPr>
  </w:style>
  <w:style w:type="paragraph" w:styleId="ListParagraph">
    <w:name w:val="List Paragraph"/>
    <w:basedOn w:val="Normal"/>
    <w:link w:val="ListParagraphChar"/>
    <w:uiPriority w:val="99"/>
    <w:qFormat/>
    <w:rsid w:val="00E5351C"/>
    <w:pPr>
      <w:ind w:left="720"/>
      <w:contextualSpacing/>
    </w:pPr>
    <w:rPr>
      <w:sz w:val="20"/>
    </w:rPr>
  </w:style>
  <w:style w:type="paragraph" w:customStyle="1" w:styleId="Char1CharCharChar">
    <w:name w:val="Char1 Char Char Char"/>
    <w:basedOn w:val="Normal"/>
    <w:uiPriority w:val="99"/>
    <w:semiHidden/>
    <w:rsid w:val="000F3BD3"/>
    <w:pPr>
      <w:autoSpaceDE w:val="0"/>
      <w:autoSpaceDN w:val="0"/>
      <w:adjustRightInd w:val="0"/>
      <w:spacing w:before="0" w:after="160" w:line="240" w:lineRule="exact"/>
    </w:pPr>
    <w:rPr>
      <w:rFonts w:ascii="Arial" w:hAnsi="Arial"/>
      <w:iCs/>
      <w:color w:val="000000"/>
      <w:szCs w:val="22"/>
    </w:rPr>
  </w:style>
  <w:style w:type="paragraph" w:customStyle="1" w:styleId="Heading2Draft0">
    <w:name w:val="Heading2 Draft 0"/>
    <w:basedOn w:val="Heading2"/>
    <w:uiPriority w:val="99"/>
    <w:rsid w:val="000C6D70"/>
    <w:pPr>
      <w:keepNext w:val="0"/>
      <w:keepLines w:val="0"/>
      <w:numPr>
        <w:ilvl w:val="1"/>
        <w:numId w:val="10"/>
      </w:numPr>
      <w:spacing w:after="0"/>
      <w:jc w:val="both"/>
    </w:pPr>
    <w:rPr>
      <w:rFonts w:ascii="Times New Roman" w:hAnsi="Times New Roman"/>
      <w:b w:val="0"/>
      <w:iCs w:val="0"/>
      <w:kern w:val="28"/>
      <w:sz w:val="24"/>
      <w:szCs w:val="20"/>
      <w:lang w:val="en-NZ"/>
    </w:rPr>
  </w:style>
  <w:style w:type="character" w:customStyle="1" w:styleId="plain1">
    <w:name w:val="plain1"/>
    <w:uiPriority w:val="99"/>
    <w:rsid w:val="000C6D70"/>
    <w:rPr>
      <w:rFonts w:ascii="Arial" w:hAnsi="Arial" w:cs="Arial"/>
      <w:color w:val="000000"/>
      <w:sz w:val="24"/>
      <w:szCs w:val="24"/>
    </w:rPr>
  </w:style>
  <w:style w:type="paragraph" w:styleId="Revision">
    <w:name w:val="Revision"/>
    <w:hidden/>
    <w:uiPriority w:val="99"/>
    <w:semiHidden/>
    <w:rsid w:val="00BD1D1C"/>
    <w:rPr>
      <w:sz w:val="22"/>
      <w:szCs w:val="24"/>
    </w:rPr>
  </w:style>
  <w:style w:type="paragraph" w:customStyle="1" w:styleId="heading2numbered0">
    <w:name w:val="heading2numbered"/>
    <w:basedOn w:val="Normal"/>
    <w:uiPriority w:val="99"/>
    <w:rsid w:val="006F7BDB"/>
    <w:pPr>
      <w:keepNext/>
      <w:tabs>
        <w:tab w:val="num" w:pos="360"/>
      </w:tabs>
      <w:spacing w:before="240" w:after="240"/>
    </w:pPr>
    <w:rPr>
      <w:rFonts w:ascii="Times New Roman Bold" w:hAnsi="Times New Roman Bold"/>
      <w:b/>
      <w:bCs/>
      <w:sz w:val="28"/>
      <w:szCs w:val="28"/>
    </w:rPr>
  </w:style>
  <w:style w:type="numbering" w:customStyle="1" w:styleId="CurrentList1">
    <w:name w:val="Current List1"/>
    <w:rsid w:val="00DB0178"/>
    <w:pPr>
      <w:numPr>
        <w:numId w:val="8"/>
      </w:numPr>
    </w:pPr>
  </w:style>
  <w:style w:type="paragraph" w:styleId="BodyTextFirstIndent">
    <w:name w:val="Body Text First Indent"/>
    <w:aliases w:val="btfi"/>
    <w:basedOn w:val="BodyText"/>
    <w:link w:val="BodyTextFirstIndentChar"/>
    <w:uiPriority w:val="99"/>
    <w:unhideWhenUsed/>
    <w:locked/>
    <w:rsid w:val="00606B3E"/>
    <w:pPr>
      <w:spacing w:before="120" w:after="120"/>
      <w:ind w:left="0" w:firstLine="360"/>
    </w:pPr>
  </w:style>
  <w:style w:type="character" w:customStyle="1" w:styleId="BodyTextFirstIndentChar">
    <w:name w:val="Body Text First Indent Char"/>
    <w:aliases w:val="btfi Char"/>
    <w:link w:val="BodyTextFirstIndent"/>
    <w:uiPriority w:val="99"/>
    <w:semiHidden/>
    <w:rsid w:val="00606B3E"/>
    <w:rPr>
      <w:rFonts w:cs="Times New Roman"/>
      <w:sz w:val="24"/>
      <w:szCs w:val="24"/>
      <w:lang w:val="en-US" w:eastAsia="en-US" w:bidi="ar-SA"/>
    </w:rPr>
  </w:style>
  <w:style w:type="character" w:customStyle="1" w:styleId="DocInfo">
    <w:name w:val="DocInfo"/>
    <w:uiPriority w:val="99"/>
    <w:rsid w:val="00606B3E"/>
    <w:rPr>
      <w:rFonts w:ascii="Times New Roman" w:hAnsi="Times New Roman" w:cs="Times New Roman"/>
      <w:sz w:val="16"/>
      <w:szCs w:val="16"/>
      <w:lang w:val="en-US"/>
    </w:rPr>
  </w:style>
  <w:style w:type="paragraph" w:customStyle="1" w:styleId="CharCharCharCharChar">
    <w:name w:val="Char Char Char Char Char"/>
    <w:basedOn w:val="Normal"/>
    <w:uiPriority w:val="99"/>
    <w:rsid w:val="00606B3E"/>
    <w:pPr>
      <w:widowControl w:val="0"/>
      <w:autoSpaceDE w:val="0"/>
      <w:autoSpaceDN w:val="0"/>
      <w:adjustRightInd w:val="0"/>
      <w:spacing w:after="160" w:line="240" w:lineRule="exact"/>
    </w:pPr>
    <w:rPr>
      <w:rFonts w:ascii="Arial" w:hAnsi="Arial" w:cs="Arial"/>
      <w:sz w:val="20"/>
      <w:szCs w:val="20"/>
    </w:rPr>
  </w:style>
  <w:style w:type="paragraph" w:customStyle="1" w:styleId="Legal2L1">
    <w:name w:val="Legal2_L1"/>
    <w:basedOn w:val="Normal"/>
    <w:next w:val="Legal2L2"/>
    <w:uiPriority w:val="99"/>
    <w:rsid w:val="00606B3E"/>
    <w:pPr>
      <w:keepNext/>
      <w:widowControl w:val="0"/>
      <w:numPr>
        <w:numId w:val="26"/>
      </w:numPr>
      <w:autoSpaceDE w:val="0"/>
      <w:autoSpaceDN w:val="0"/>
      <w:adjustRightInd w:val="0"/>
      <w:spacing w:before="0" w:after="240"/>
      <w:outlineLvl w:val="0"/>
    </w:pPr>
    <w:rPr>
      <w:b/>
      <w:bCs/>
      <w:caps/>
      <w:sz w:val="20"/>
      <w:szCs w:val="20"/>
    </w:rPr>
  </w:style>
  <w:style w:type="paragraph" w:customStyle="1" w:styleId="Legal2L2">
    <w:name w:val="Legal2_L2"/>
    <w:basedOn w:val="Legal2L1"/>
    <w:uiPriority w:val="99"/>
    <w:rsid w:val="00606B3E"/>
    <w:pPr>
      <w:numPr>
        <w:ilvl w:val="1"/>
      </w:numPr>
      <w:tabs>
        <w:tab w:val="num" w:pos="1440"/>
      </w:tabs>
      <w:spacing w:before="120" w:after="120"/>
      <w:ind w:left="1440" w:hanging="360"/>
      <w:jc w:val="both"/>
      <w:outlineLvl w:val="1"/>
    </w:pPr>
    <w:rPr>
      <w:b w:val="0"/>
      <w:bCs w:val="0"/>
      <w:caps w:val="0"/>
    </w:rPr>
  </w:style>
  <w:style w:type="paragraph" w:customStyle="1" w:styleId="Legal2L3">
    <w:name w:val="Legal2_L3"/>
    <w:basedOn w:val="Legal2L2"/>
    <w:uiPriority w:val="99"/>
    <w:rsid w:val="00606B3E"/>
    <w:pPr>
      <w:keepNext w:val="0"/>
      <w:numPr>
        <w:ilvl w:val="2"/>
      </w:numPr>
      <w:outlineLvl w:val="2"/>
    </w:pPr>
  </w:style>
  <w:style w:type="paragraph" w:customStyle="1" w:styleId="Legal2L4">
    <w:name w:val="Legal2_L4"/>
    <w:basedOn w:val="Legal2L3"/>
    <w:uiPriority w:val="99"/>
    <w:rsid w:val="00606B3E"/>
    <w:pPr>
      <w:numPr>
        <w:ilvl w:val="3"/>
      </w:numPr>
      <w:tabs>
        <w:tab w:val="num" w:pos="1440"/>
      </w:tabs>
      <w:outlineLvl w:val="3"/>
    </w:pPr>
  </w:style>
  <w:style w:type="paragraph" w:customStyle="1" w:styleId="Legal2L5">
    <w:name w:val="Legal2_L5"/>
    <w:basedOn w:val="Legal2L4"/>
    <w:uiPriority w:val="99"/>
    <w:rsid w:val="00606B3E"/>
    <w:pPr>
      <w:numPr>
        <w:ilvl w:val="4"/>
      </w:numPr>
      <w:outlineLvl w:val="4"/>
    </w:pPr>
  </w:style>
  <w:style w:type="paragraph" w:customStyle="1" w:styleId="Legal2L6">
    <w:name w:val="Legal2_L6"/>
    <w:basedOn w:val="Legal2L5"/>
    <w:uiPriority w:val="99"/>
    <w:rsid w:val="00606B3E"/>
    <w:pPr>
      <w:numPr>
        <w:ilvl w:val="5"/>
      </w:numPr>
      <w:tabs>
        <w:tab w:val="num" w:pos="1440"/>
      </w:tabs>
      <w:outlineLvl w:val="5"/>
    </w:pPr>
  </w:style>
  <w:style w:type="paragraph" w:customStyle="1" w:styleId="Legal2L7">
    <w:name w:val="Legal2_L7"/>
    <w:basedOn w:val="Legal2L6"/>
    <w:uiPriority w:val="99"/>
    <w:rsid w:val="00606B3E"/>
    <w:pPr>
      <w:numPr>
        <w:ilvl w:val="6"/>
      </w:numPr>
      <w:tabs>
        <w:tab w:val="num" w:pos="1440"/>
      </w:tabs>
      <w:outlineLvl w:val="6"/>
    </w:pPr>
  </w:style>
  <w:style w:type="paragraph" w:customStyle="1" w:styleId="Legal2L8">
    <w:name w:val="Legal2_L8"/>
    <w:basedOn w:val="Legal2L7"/>
    <w:uiPriority w:val="99"/>
    <w:rsid w:val="00606B3E"/>
    <w:pPr>
      <w:numPr>
        <w:ilvl w:val="7"/>
      </w:numPr>
      <w:tabs>
        <w:tab w:val="num" w:pos="1440"/>
        <w:tab w:val="num" w:pos="2160"/>
      </w:tabs>
      <w:outlineLvl w:val="7"/>
    </w:pPr>
  </w:style>
  <w:style w:type="paragraph" w:customStyle="1" w:styleId="Legal2L9">
    <w:name w:val="Legal2_L9"/>
    <w:basedOn w:val="Legal2L8"/>
    <w:next w:val="BodyText"/>
    <w:uiPriority w:val="99"/>
    <w:rsid w:val="00606B3E"/>
    <w:pPr>
      <w:numPr>
        <w:ilvl w:val="8"/>
      </w:numPr>
      <w:tabs>
        <w:tab w:val="num" w:pos="1440"/>
        <w:tab w:val="num" w:pos="2160"/>
      </w:tabs>
      <w:ind w:left="0"/>
      <w:jc w:val="left"/>
      <w:outlineLvl w:val="8"/>
    </w:pPr>
  </w:style>
  <w:style w:type="character" w:customStyle="1" w:styleId="MBPCBold">
    <w:name w:val="MBPC_Bold"/>
    <w:aliases w:val="c1"/>
    <w:uiPriority w:val="99"/>
    <w:rsid w:val="00606B3E"/>
    <w:rPr>
      <w:rFonts w:ascii="Times New Roman" w:hAnsi="Times New Roman" w:cs="Times New Roman"/>
      <w:b/>
      <w:bCs/>
      <w:spacing w:val="0"/>
      <w:sz w:val="22"/>
      <w:szCs w:val="22"/>
      <w:lang w:val="en-US"/>
    </w:rPr>
  </w:style>
  <w:style w:type="character" w:customStyle="1" w:styleId="MBPCBoldUnderline">
    <w:name w:val="MBPC_Bold Underline"/>
    <w:aliases w:val="c5"/>
    <w:uiPriority w:val="99"/>
    <w:rsid w:val="00606B3E"/>
    <w:rPr>
      <w:rFonts w:ascii="Times New Roman" w:hAnsi="Times New Roman" w:cs="Times New Roman"/>
      <w:b/>
      <w:bCs/>
      <w:spacing w:val="0"/>
      <w:sz w:val="22"/>
      <w:szCs w:val="22"/>
      <w:u w:val="single"/>
      <w:lang w:val="en-US"/>
    </w:rPr>
  </w:style>
  <w:style w:type="paragraph" w:customStyle="1" w:styleId="DeltaViewTableBody">
    <w:name w:val="DeltaView Table Body"/>
    <w:basedOn w:val="Normal"/>
    <w:uiPriority w:val="99"/>
    <w:rsid w:val="00606B3E"/>
    <w:pPr>
      <w:widowControl w:val="0"/>
      <w:autoSpaceDE w:val="0"/>
      <w:autoSpaceDN w:val="0"/>
      <w:adjustRightInd w:val="0"/>
      <w:spacing w:before="0" w:after="0"/>
    </w:pPr>
    <w:rPr>
      <w:rFonts w:ascii="Arial" w:hAnsi="Arial" w:cs="Arial"/>
      <w:sz w:val="24"/>
    </w:rPr>
  </w:style>
  <w:style w:type="character" w:customStyle="1" w:styleId="DeltaViewInsertion">
    <w:name w:val="DeltaView Insertion"/>
    <w:uiPriority w:val="99"/>
    <w:rsid w:val="00606B3E"/>
    <w:rPr>
      <w:color w:val="0000FF"/>
      <w:u w:val="double"/>
    </w:rPr>
  </w:style>
  <w:style w:type="paragraph" w:customStyle="1" w:styleId="dx-TitleBUAL">
    <w:name w:val="dx-Title BUAL"/>
    <w:aliases w:val="t6,MBP_Title BC"/>
    <w:basedOn w:val="Normal"/>
    <w:next w:val="Normal"/>
    <w:uiPriority w:val="99"/>
    <w:rsid w:val="00606B3E"/>
    <w:pPr>
      <w:keepNext/>
      <w:widowControl w:val="0"/>
      <w:autoSpaceDE w:val="0"/>
      <w:autoSpaceDN w:val="0"/>
      <w:adjustRightInd w:val="0"/>
      <w:spacing w:before="0" w:after="240"/>
    </w:pPr>
    <w:rPr>
      <w:b/>
      <w:bCs/>
      <w:caps/>
      <w:sz w:val="20"/>
      <w:szCs w:val="20"/>
      <w:u w:val="single"/>
    </w:rPr>
  </w:style>
  <w:style w:type="paragraph" w:customStyle="1" w:styleId="dx-TitleC">
    <w:name w:val="dx-Title C"/>
    <w:aliases w:val="t10,New_Centered Text"/>
    <w:basedOn w:val="Normal"/>
    <w:uiPriority w:val="99"/>
    <w:rsid w:val="00606B3E"/>
    <w:pPr>
      <w:keepNext/>
      <w:widowControl w:val="0"/>
      <w:autoSpaceDE w:val="0"/>
      <w:autoSpaceDN w:val="0"/>
      <w:adjustRightInd w:val="0"/>
      <w:spacing w:before="0" w:after="240"/>
      <w:jc w:val="center"/>
    </w:pPr>
    <w:rPr>
      <w:sz w:val="20"/>
      <w:szCs w:val="20"/>
    </w:rPr>
  </w:style>
  <w:style w:type="paragraph" w:customStyle="1" w:styleId="dx-BdSingleSp">
    <w:name w:val="dx-Bd Single Sp"/>
    <w:aliases w:val="s1,MBP_Bd Single Sp L"/>
    <w:basedOn w:val="Normal"/>
    <w:uiPriority w:val="99"/>
    <w:rsid w:val="00606B3E"/>
    <w:pPr>
      <w:widowControl w:val="0"/>
      <w:autoSpaceDE w:val="0"/>
      <w:autoSpaceDN w:val="0"/>
      <w:adjustRightInd w:val="0"/>
      <w:spacing w:before="0" w:after="240"/>
    </w:pPr>
    <w:rPr>
      <w:sz w:val="20"/>
      <w:szCs w:val="20"/>
    </w:rPr>
  </w:style>
  <w:style w:type="character" w:customStyle="1" w:styleId="Char">
    <w:name w:val="Char"/>
    <w:hidden/>
    <w:uiPriority w:val="99"/>
    <w:rsid w:val="00606B3E"/>
    <w:rPr>
      <w:rFonts w:ascii="Tahoma" w:hAnsi="Tahoma" w:cs="Tahoma"/>
      <w:sz w:val="16"/>
      <w:szCs w:val="16"/>
      <w:lang w:val="en-US"/>
    </w:rPr>
  </w:style>
  <w:style w:type="character" w:customStyle="1" w:styleId="DeltaViewDeletion">
    <w:name w:val="DeltaView Deletion"/>
    <w:uiPriority w:val="99"/>
    <w:rsid w:val="00606B3E"/>
    <w:rPr>
      <w:strike/>
      <w:color w:val="FF0000"/>
    </w:rPr>
  </w:style>
  <w:style w:type="paragraph" w:customStyle="1" w:styleId="DeltaViewTableHeading">
    <w:name w:val="DeltaView Table Heading"/>
    <w:basedOn w:val="Normal"/>
    <w:uiPriority w:val="99"/>
    <w:rsid w:val="00606B3E"/>
    <w:pPr>
      <w:autoSpaceDE w:val="0"/>
      <w:autoSpaceDN w:val="0"/>
      <w:adjustRightInd w:val="0"/>
      <w:spacing w:before="0"/>
    </w:pPr>
    <w:rPr>
      <w:rFonts w:ascii="Arial" w:hAnsi="Arial" w:cs="Arial"/>
      <w:b/>
      <w:bCs/>
      <w:sz w:val="24"/>
    </w:rPr>
  </w:style>
  <w:style w:type="paragraph" w:customStyle="1" w:styleId="DeltaViewAnnounce">
    <w:name w:val="DeltaView Announce"/>
    <w:uiPriority w:val="99"/>
    <w:rsid w:val="00606B3E"/>
    <w:pPr>
      <w:autoSpaceDE w:val="0"/>
      <w:autoSpaceDN w:val="0"/>
      <w:adjustRightInd w:val="0"/>
      <w:spacing w:before="100" w:beforeAutospacing="1" w:after="100" w:afterAutospacing="1"/>
    </w:pPr>
    <w:rPr>
      <w:rFonts w:ascii="Arial" w:hAnsi="Arial" w:cs="Arial"/>
      <w:sz w:val="24"/>
      <w:szCs w:val="24"/>
      <w:lang w:val="en-GB"/>
    </w:rPr>
  </w:style>
  <w:style w:type="character" w:customStyle="1" w:styleId="DeltaViewMoveSource">
    <w:name w:val="DeltaView Move Source"/>
    <w:uiPriority w:val="99"/>
    <w:rsid w:val="00606B3E"/>
    <w:rPr>
      <w:strike/>
      <w:color w:val="auto"/>
    </w:rPr>
  </w:style>
  <w:style w:type="character" w:customStyle="1" w:styleId="DeltaViewMoveDestination">
    <w:name w:val="DeltaView Move Destination"/>
    <w:uiPriority w:val="99"/>
    <w:rsid w:val="00606B3E"/>
    <w:rPr>
      <w:color w:val="auto"/>
      <w:u w:val="double"/>
    </w:rPr>
  </w:style>
  <w:style w:type="character" w:customStyle="1" w:styleId="DeltaViewChangeNumber">
    <w:name w:val="DeltaView Change Number"/>
    <w:uiPriority w:val="99"/>
    <w:rsid w:val="00606B3E"/>
    <w:rPr>
      <w:color w:val="000000"/>
      <w:vertAlign w:val="superscript"/>
    </w:rPr>
  </w:style>
  <w:style w:type="character" w:customStyle="1" w:styleId="DeltaViewDelimiter">
    <w:name w:val="DeltaView Delimiter"/>
    <w:uiPriority w:val="99"/>
    <w:rsid w:val="00606B3E"/>
  </w:style>
  <w:style w:type="character" w:customStyle="1" w:styleId="DeltaViewFormatChange">
    <w:name w:val="DeltaView Format Change"/>
    <w:uiPriority w:val="99"/>
    <w:rsid w:val="00606B3E"/>
    <w:rPr>
      <w:color w:val="000000"/>
    </w:rPr>
  </w:style>
  <w:style w:type="character" w:customStyle="1" w:styleId="DeltaViewMovedDeletion">
    <w:name w:val="DeltaView Moved Deletion"/>
    <w:uiPriority w:val="99"/>
    <w:rsid w:val="00606B3E"/>
    <w:rPr>
      <w:strike/>
      <w:color w:val="auto"/>
    </w:rPr>
  </w:style>
  <w:style w:type="character" w:customStyle="1" w:styleId="DeltaViewComment">
    <w:name w:val="DeltaView Comment"/>
    <w:uiPriority w:val="99"/>
    <w:rsid w:val="00606B3E"/>
    <w:rPr>
      <w:color w:val="000000"/>
    </w:rPr>
  </w:style>
  <w:style w:type="character" w:customStyle="1" w:styleId="DeltaViewStyleChangeText">
    <w:name w:val="DeltaView Style Change Text"/>
    <w:uiPriority w:val="99"/>
    <w:rsid w:val="00606B3E"/>
    <w:rPr>
      <w:color w:val="000000"/>
      <w:u w:val="double"/>
    </w:rPr>
  </w:style>
  <w:style w:type="character" w:customStyle="1" w:styleId="DeltaViewStyleChangeLabel">
    <w:name w:val="DeltaView Style Change Label"/>
    <w:uiPriority w:val="99"/>
    <w:rsid w:val="00606B3E"/>
    <w:rPr>
      <w:color w:val="000000"/>
    </w:rPr>
  </w:style>
  <w:style w:type="character" w:customStyle="1" w:styleId="DeltaViewInsertedComment">
    <w:name w:val="DeltaView Inserted Comment"/>
    <w:uiPriority w:val="99"/>
    <w:rsid w:val="00606B3E"/>
    <w:rPr>
      <w:color w:val="0000FF"/>
      <w:u w:val="double"/>
    </w:rPr>
  </w:style>
  <w:style w:type="character" w:customStyle="1" w:styleId="DeltaViewDeletedComment">
    <w:name w:val="DeltaView Deleted Comment"/>
    <w:uiPriority w:val="99"/>
    <w:rsid w:val="00606B3E"/>
    <w:rPr>
      <w:strike/>
      <w:color w:val="FF0000"/>
    </w:rPr>
  </w:style>
  <w:style w:type="paragraph" w:customStyle="1" w:styleId="TableTextspacebefore">
    <w:name w:val="Table Text (space before)"/>
    <w:basedOn w:val="TableText"/>
    <w:next w:val="TableText"/>
    <w:uiPriority w:val="99"/>
    <w:rsid w:val="00606B3E"/>
    <w:pPr>
      <w:autoSpaceDE w:val="0"/>
      <w:autoSpaceDN w:val="0"/>
      <w:adjustRightInd w:val="0"/>
      <w:spacing w:before="240"/>
    </w:pPr>
    <w:rPr>
      <w:b/>
      <w:bCs/>
      <w:color w:val="000000"/>
      <w:szCs w:val="22"/>
    </w:rPr>
  </w:style>
  <w:style w:type="character" w:customStyle="1" w:styleId="ListParagraphChar">
    <w:name w:val="List Paragraph Char"/>
    <w:link w:val="ListParagraph"/>
    <w:uiPriority w:val="99"/>
    <w:rsid w:val="00C47F3A"/>
    <w:rPr>
      <w:szCs w:val="24"/>
    </w:rPr>
  </w:style>
  <w:style w:type="paragraph" w:customStyle="1" w:styleId="Default">
    <w:name w:val="Default"/>
    <w:rsid w:val="00896681"/>
    <w:pPr>
      <w:autoSpaceDE w:val="0"/>
      <w:autoSpaceDN w:val="0"/>
      <w:adjustRightInd w:val="0"/>
    </w:pPr>
    <w:rPr>
      <w:color w:val="000000"/>
      <w:sz w:val="24"/>
      <w:szCs w:val="24"/>
    </w:rPr>
  </w:style>
  <w:style w:type="character" w:customStyle="1" w:styleId="st1">
    <w:name w:val="st1"/>
    <w:basedOn w:val="DefaultParagraphFont"/>
    <w:rsid w:val="00656B49"/>
  </w:style>
  <w:style w:type="paragraph" w:styleId="NormalWeb">
    <w:name w:val="Normal (Web)"/>
    <w:basedOn w:val="Normal"/>
    <w:uiPriority w:val="99"/>
    <w:unhideWhenUsed/>
    <w:locked/>
    <w:rsid w:val="00D941F8"/>
    <w:pPr>
      <w:spacing w:before="100" w:beforeAutospacing="1" w:after="100" w:afterAutospacing="1"/>
    </w:pPr>
    <w:rPr>
      <w:rFonts w:ascii="Verdana" w:hAnsi="Verdana"/>
      <w:color w:val="000000"/>
      <w:sz w:val="13"/>
      <w:szCs w:val="13"/>
    </w:rPr>
  </w:style>
  <w:style w:type="character" w:styleId="Emphasis">
    <w:name w:val="Emphasis"/>
    <w:uiPriority w:val="20"/>
    <w:qFormat/>
    <w:rsid w:val="00BA7A16"/>
    <w:rPr>
      <w:i/>
      <w:iCs/>
    </w:rPr>
  </w:style>
  <w:style w:type="character" w:styleId="Strong">
    <w:name w:val="Strong"/>
    <w:uiPriority w:val="22"/>
    <w:qFormat/>
    <w:rsid w:val="00BA7A16"/>
    <w:rPr>
      <w:b/>
      <w:bCs/>
    </w:rPr>
  </w:style>
  <w:style w:type="paragraph" w:customStyle="1" w:styleId="CM28">
    <w:name w:val="CM28"/>
    <w:basedOn w:val="Default"/>
    <w:next w:val="Default"/>
    <w:uiPriority w:val="99"/>
    <w:rsid w:val="001E369A"/>
    <w:pPr>
      <w:spacing w:line="236" w:lineRule="atLeast"/>
    </w:pPr>
    <w:rPr>
      <w:color w:val="auto"/>
    </w:rPr>
  </w:style>
  <w:style w:type="paragraph" w:customStyle="1" w:styleId="CM30">
    <w:name w:val="CM30"/>
    <w:basedOn w:val="Default"/>
    <w:next w:val="Default"/>
    <w:uiPriority w:val="99"/>
    <w:rsid w:val="001E369A"/>
    <w:pPr>
      <w:spacing w:line="233" w:lineRule="atLeast"/>
    </w:pPr>
    <w:rPr>
      <w:color w:val="auto"/>
    </w:rPr>
  </w:style>
  <w:style w:type="paragraph" w:customStyle="1" w:styleId="CM47">
    <w:name w:val="CM47"/>
    <w:basedOn w:val="Default"/>
    <w:next w:val="Default"/>
    <w:uiPriority w:val="99"/>
    <w:rsid w:val="006A4102"/>
    <w:pPr>
      <w:spacing w:line="238" w:lineRule="atLeast"/>
    </w:pPr>
    <w:rPr>
      <w:color w:val="auto"/>
    </w:rPr>
  </w:style>
  <w:style w:type="paragraph" w:customStyle="1" w:styleId="CM31">
    <w:name w:val="CM31"/>
    <w:basedOn w:val="Default"/>
    <w:next w:val="Default"/>
    <w:uiPriority w:val="99"/>
    <w:rsid w:val="006A4102"/>
    <w:pPr>
      <w:spacing w:line="233" w:lineRule="atLeast"/>
    </w:pPr>
    <w:rPr>
      <w:color w:val="auto"/>
    </w:rPr>
  </w:style>
  <w:style w:type="paragraph" w:customStyle="1" w:styleId="CM48">
    <w:name w:val="CM48"/>
    <w:basedOn w:val="Default"/>
    <w:next w:val="Default"/>
    <w:uiPriority w:val="99"/>
    <w:rsid w:val="006A4102"/>
    <w:pPr>
      <w:spacing w:line="236" w:lineRule="atLeast"/>
    </w:pPr>
    <w:rPr>
      <w:color w:val="auto"/>
    </w:rPr>
  </w:style>
  <w:style w:type="paragraph" w:customStyle="1" w:styleId="CM2">
    <w:name w:val="CM2"/>
    <w:basedOn w:val="Default"/>
    <w:next w:val="Default"/>
    <w:uiPriority w:val="99"/>
    <w:rsid w:val="00237043"/>
    <w:rPr>
      <w:color w:val="auto"/>
    </w:rPr>
  </w:style>
  <w:style w:type="paragraph" w:customStyle="1" w:styleId="CM71">
    <w:name w:val="CM71"/>
    <w:basedOn w:val="Default"/>
    <w:next w:val="Default"/>
    <w:uiPriority w:val="99"/>
    <w:rsid w:val="00237043"/>
    <w:rPr>
      <w:color w:val="auto"/>
    </w:rPr>
  </w:style>
  <w:style w:type="character" w:customStyle="1" w:styleId="ssens">
    <w:name w:val="ssens"/>
    <w:basedOn w:val="DefaultParagraphFont"/>
    <w:rsid w:val="005C3906"/>
  </w:style>
  <w:style w:type="character" w:customStyle="1" w:styleId="mediabar">
    <w:name w:val="mediabar"/>
    <w:basedOn w:val="DefaultParagraphFont"/>
    <w:rsid w:val="00732BE2"/>
  </w:style>
  <w:style w:type="character" w:customStyle="1" w:styleId="st">
    <w:name w:val="st"/>
    <w:basedOn w:val="DefaultParagraphFont"/>
    <w:rsid w:val="00F82211"/>
  </w:style>
</w:styles>
</file>

<file path=word/webSettings.xml><?xml version="1.0" encoding="utf-8"?>
<w:webSettings xmlns:r="http://schemas.openxmlformats.org/officeDocument/2006/relationships" xmlns:w="http://schemas.openxmlformats.org/wordprocessingml/2006/main">
  <w:divs>
    <w:div w:id="100684983">
      <w:bodyDiv w:val="1"/>
      <w:marLeft w:val="0"/>
      <w:marRight w:val="0"/>
      <w:marTop w:val="0"/>
      <w:marBottom w:val="0"/>
      <w:divBdr>
        <w:top w:val="none" w:sz="0" w:space="0" w:color="auto"/>
        <w:left w:val="none" w:sz="0" w:space="0" w:color="auto"/>
        <w:bottom w:val="none" w:sz="0" w:space="0" w:color="auto"/>
        <w:right w:val="none" w:sz="0" w:space="0" w:color="auto"/>
      </w:divBdr>
    </w:div>
    <w:div w:id="106313549">
      <w:bodyDiv w:val="1"/>
      <w:marLeft w:val="0"/>
      <w:marRight w:val="0"/>
      <w:marTop w:val="0"/>
      <w:marBottom w:val="0"/>
      <w:divBdr>
        <w:top w:val="none" w:sz="0" w:space="0" w:color="auto"/>
        <w:left w:val="none" w:sz="0" w:space="0" w:color="auto"/>
        <w:bottom w:val="none" w:sz="0" w:space="0" w:color="auto"/>
        <w:right w:val="none" w:sz="0" w:space="0" w:color="auto"/>
      </w:divBdr>
    </w:div>
    <w:div w:id="431753032">
      <w:bodyDiv w:val="1"/>
      <w:marLeft w:val="0"/>
      <w:marRight w:val="0"/>
      <w:marTop w:val="0"/>
      <w:marBottom w:val="0"/>
      <w:divBdr>
        <w:top w:val="none" w:sz="0" w:space="0" w:color="auto"/>
        <w:left w:val="none" w:sz="0" w:space="0" w:color="auto"/>
        <w:bottom w:val="none" w:sz="0" w:space="0" w:color="auto"/>
        <w:right w:val="none" w:sz="0" w:space="0" w:color="auto"/>
      </w:divBdr>
    </w:div>
    <w:div w:id="544878758">
      <w:bodyDiv w:val="1"/>
      <w:marLeft w:val="0"/>
      <w:marRight w:val="0"/>
      <w:marTop w:val="0"/>
      <w:marBottom w:val="0"/>
      <w:divBdr>
        <w:top w:val="none" w:sz="0" w:space="0" w:color="auto"/>
        <w:left w:val="none" w:sz="0" w:space="0" w:color="auto"/>
        <w:bottom w:val="none" w:sz="0" w:space="0" w:color="auto"/>
        <w:right w:val="none" w:sz="0" w:space="0" w:color="auto"/>
      </w:divBdr>
    </w:div>
    <w:div w:id="788741623">
      <w:bodyDiv w:val="1"/>
      <w:marLeft w:val="0"/>
      <w:marRight w:val="0"/>
      <w:marTop w:val="0"/>
      <w:marBottom w:val="0"/>
      <w:divBdr>
        <w:top w:val="none" w:sz="0" w:space="0" w:color="auto"/>
        <w:left w:val="none" w:sz="0" w:space="0" w:color="auto"/>
        <w:bottom w:val="none" w:sz="0" w:space="0" w:color="auto"/>
        <w:right w:val="none" w:sz="0" w:space="0" w:color="auto"/>
      </w:divBdr>
      <w:divsChild>
        <w:div w:id="803163323">
          <w:marLeft w:val="0"/>
          <w:marRight w:val="0"/>
          <w:marTop w:val="0"/>
          <w:marBottom w:val="0"/>
          <w:divBdr>
            <w:top w:val="none" w:sz="0" w:space="0" w:color="auto"/>
            <w:left w:val="none" w:sz="0" w:space="0" w:color="auto"/>
            <w:bottom w:val="none" w:sz="0" w:space="0" w:color="auto"/>
            <w:right w:val="none" w:sz="0" w:space="0" w:color="auto"/>
          </w:divBdr>
          <w:divsChild>
            <w:div w:id="1128817622">
              <w:marLeft w:val="0"/>
              <w:marRight w:val="0"/>
              <w:marTop w:val="0"/>
              <w:marBottom w:val="0"/>
              <w:divBdr>
                <w:top w:val="none" w:sz="0" w:space="0" w:color="auto"/>
                <w:left w:val="none" w:sz="0" w:space="0" w:color="auto"/>
                <w:bottom w:val="none" w:sz="0" w:space="0" w:color="auto"/>
                <w:right w:val="none" w:sz="0" w:space="0" w:color="auto"/>
              </w:divBdr>
              <w:divsChild>
                <w:div w:id="1125002068">
                  <w:marLeft w:val="0"/>
                  <w:marRight w:val="0"/>
                  <w:marTop w:val="0"/>
                  <w:marBottom w:val="0"/>
                  <w:divBdr>
                    <w:top w:val="none" w:sz="0" w:space="0" w:color="auto"/>
                    <w:left w:val="none" w:sz="0" w:space="0" w:color="auto"/>
                    <w:bottom w:val="none" w:sz="0" w:space="0" w:color="auto"/>
                    <w:right w:val="none" w:sz="0" w:space="0" w:color="auto"/>
                  </w:divBdr>
                  <w:divsChild>
                    <w:div w:id="300690617">
                      <w:marLeft w:val="0"/>
                      <w:marRight w:val="0"/>
                      <w:marTop w:val="0"/>
                      <w:marBottom w:val="0"/>
                      <w:divBdr>
                        <w:top w:val="single" w:sz="4" w:space="4" w:color="666666"/>
                        <w:left w:val="none" w:sz="0" w:space="0" w:color="auto"/>
                        <w:bottom w:val="single" w:sz="4" w:space="4" w:color="666666"/>
                        <w:right w:val="none" w:sz="0" w:space="0" w:color="auto"/>
                      </w:divBdr>
                    </w:div>
                  </w:divsChild>
                </w:div>
              </w:divsChild>
            </w:div>
          </w:divsChild>
        </w:div>
      </w:divsChild>
    </w:div>
    <w:div w:id="804005633">
      <w:bodyDiv w:val="1"/>
      <w:marLeft w:val="0"/>
      <w:marRight w:val="0"/>
      <w:marTop w:val="0"/>
      <w:marBottom w:val="0"/>
      <w:divBdr>
        <w:top w:val="none" w:sz="0" w:space="0" w:color="auto"/>
        <w:left w:val="none" w:sz="0" w:space="0" w:color="auto"/>
        <w:bottom w:val="none" w:sz="0" w:space="0" w:color="auto"/>
        <w:right w:val="none" w:sz="0" w:space="0" w:color="auto"/>
      </w:divBdr>
      <w:divsChild>
        <w:div w:id="1039471168">
          <w:marLeft w:val="0"/>
          <w:marRight w:val="0"/>
          <w:marTop w:val="0"/>
          <w:marBottom w:val="0"/>
          <w:divBdr>
            <w:top w:val="none" w:sz="0" w:space="0" w:color="auto"/>
            <w:left w:val="none" w:sz="0" w:space="0" w:color="auto"/>
            <w:bottom w:val="none" w:sz="0" w:space="0" w:color="auto"/>
            <w:right w:val="none" w:sz="0" w:space="0" w:color="auto"/>
          </w:divBdr>
          <w:divsChild>
            <w:div w:id="767193651">
              <w:marLeft w:val="0"/>
              <w:marRight w:val="0"/>
              <w:marTop w:val="0"/>
              <w:marBottom w:val="0"/>
              <w:divBdr>
                <w:top w:val="none" w:sz="0" w:space="0" w:color="auto"/>
                <w:left w:val="none" w:sz="0" w:space="0" w:color="auto"/>
                <w:bottom w:val="none" w:sz="0" w:space="0" w:color="auto"/>
                <w:right w:val="none" w:sz="0" w:space="0" w:color="auto"/>
              </w:divBdr>
              <w:divsChild>
                <w:div w:id="863056774">
                  <w:marLeft w:val="0"/>
                  <w:marRight w:val="0"/>
                  <w:marTop w:val="0"/>
                  <w:marBottom w:val="0"/>
                  <w:divBdr>
                    <w:top w:val="none" w:sz="0" w:space="0" w:color="auto"/>
                    <w:left w:val="none" w:sz="0" w:space="0" w:color="auto"/>
                    <w:bottom w:val="none" w:sz="0" w:space="0" w:color="auto"/>
                    <w:right w:val="none" w:sz="0" w:space="0" w:color="auto"/>
                  </w:divBdr>
                  <w:divsChild>
                    <w:div w:id="627590777">
                      <w:marLeft w:val="0"/>
                      <w:marRight w:val="0"/>
                      <w:marTop w:val="0"/>
                      <w:marBottom w:val="0"/>
                      <w:divBdr>
                        <w:top w:val="none" w:sz="0" w:space="0" w:color="auto"/>
                        <w:left w:val="none" w:sz="0" w:space="0" w:color="auto"/>
                        <w:bottom w:val="none" w:sz="0" w:space="0" w:color="auto"/>
                        <w:right w:val="none" w:sz="0" w:space="0" w:color="auto"/>
                      </w:divBdr>
                      <w:divsChild>
                        <w:div w:id="228537752">
                          <w:marLeft w:val="0"/>
                          <w:marRight w:val="0"/>
                          <w:marTop w:val="0"/>
                          <w:marBottom w:val="0"/>
                          <w:divBdr>
                            <w:top w:val="none" w:sz="0" w:space="0" w:color="auto"/>
                            <w:left w:val="none" w:sz="0" w:space="0" w:color="auto"/>
                            <w:bottom w:val="none" w:sz="0" w:space="0" w:color="auto"/>
                            <w:right w:val="none" w:sz="0" w:space="0" w:color="auto"/>
                          </w:divBdr>
                          <w:divsChild>
                            <w:div w:id="1650403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4267326">
      <w:bodyDiv w:val="1"/>
      <w:marLeft w:val="0"/>
      <w:marRight w:val="0"/>
      <w:marTop w:val="0"/>
      <w:marBottom w:val="0"/>
      <w:divBdr>
        <w:top w:val="none" w:sz="0" w:space="0" w:color="auto"/>
        <w:left w:val="none" w:sz="0" w:space="0" w:color="auto"/>
        <w:bottom w:val="none" w:sz="0" w:space="0" w:color="auto"/>
        <w:right w:val="none" w:sz="0" w:space="0" w:color="auto"/>
      </w:divBdr>
    </w:div>
    <w:div w:id="1297757850">
      <w:bodyDiv w:val="1"/>
      <w:marLeft w:val="0"/>
      <w:marRight w:val="0"/>
      <w:marTop w:val="0"/>
      <w:marBottom w:val="0"/>
      <w:divBdr>
        <w:top w:val="none" w:sz="0" w:space="0" w:color="auto"/>
        <w:left w:val="none" w:sz="0" w:space="0" w:color="auto"/>
        <w:bottom w:val="none" w:sz="0" w:space="0" w:color="auto"/>
        <w:right w:val="none" w:sz="0" w:space="0" w:color="auto"/>
      </w:divBdr>
    </w:div>
    <w:div w:id="1479497194">
      <w:bodyDiv w:val="1"/>
      <w:marLeft w:val="0"/>
      <w:marRight w:val="0"/>
      <w:marTop w:val="0"/>
      <w:marBottom w:val="0"/>
      <w:divBdr>
        <w:top w:val="none" w:sz="0" w:space="0" w:color="auto"/>
        <w:left w:val="none" w:sz="0" w:space="0" w:color="auto"/>
        <w:bottom w:val="none" w:sz="0" w:space="0" w:color="auto"/>
        <w:right w:val="none" w:sz="0" w:space="0" w:color="auto"/>
      </w:divBdr>
      <w:divsChild>
        <w:div w:id="1322123767">
          <w:marLeft w:val="0"/>
          <w:marRight w:val="0"/>
          <w:marTop w:val="0"/>
          <w:marBottom w:val="0"/>
          <w:divBdr>
            <w:top w:val="none" w:sz="0" w:space="0" w:color="auto"/>
            <w:left w:val="none" w:sz="0" w:space="0" w:color="auto"/>
            <w:bottom w:val="none" w:sz="0" w:space="0" w:color="auto"/>
            <w:right w:val="none" w:sz="0" w:space="0" w:color="auto"/>
          </w:divBdr>
          <w:divsChild>
            <w:div w:id="22707000">
              <w:marLeft w:val="0"/>
              <w:marRight w:val="0"/>
              <w:marTop w:val="0"/>
              <w:marBottom w:val="0"/>
              <w:divBdr>
                <w:top w:val="none" w:sz="0" w:space="0" w:color="auto"/>
                <w:left w:val="none" w:sz="0" w:space="0" w:color="auto"/>
                <w:bottom w:val="none" w:sz="0" w:space="0" w:color="auto"/>
                <w:right w:val="none" w:sz="0" w:space="0" w:color="auto"/>
              </w:divBdr>
              <w:divsChild>
                <w:div w:id="1343237046">
                  <w:marLeft w:val="0"/>
                  <w:marRight w:val="0"/>
                  <w:marTop w:val="0"/>
                  <w:marBottom w:val="0"/>
                  <w:divBdr>
                    <w:top w:val="none" w:sz="0" w:space="0" w:color="auto"/>
                    <w:left w:val="none" w:sz="0" w:space="0" w:color="auto"/>
                    <w:bottom w:val="none" w:sz="0" w:space="0" w:color="auto"/>
                    <w:right w:val="none" w:sz="0" w:space="0" w:color="auto"/>
                  </w:divBdr>
                  <w:divsChild>
                    <w:div w:id="1672485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8323838">
      <w:bodyDiv w:val="1"/>
      <w:marLeft w:val="0"/>
      <w:marRight w:val="0"/>
      <w:marTop w:val="0"/>
      <w:marBottom w:val="0"/>
      <w:divBdr>
        <w:top w:val="none" w:sz="0" w:space="0" w:color="auto"/>
        <w:left w:val="none" w:sz="0" w:space="0" w:color="auto"/>
        <w:bottom w:val="none" w:sz="0" w:space="0" w:color="auto"/>
        <w:right w:val="none" w:sz="0" w:space="0" w:color="auto"/>
      </w:divBdr>
      <w:divsChild>
        <w:div w:id="708149139">
          <w:marLeft w:val="0"/>
          <w:marRight w:val="0"/>
          <w:marTop w:val="0"/>
          <w:marBottom w:val="0"/>
          <w:divBdr>
            <w:top w:val="none" w:sz="0" w:space="0" w:color="auto"/>
            <w:left w:val="none" w:sz="0" w:space="0" w:color="auto"/>
            <w:bottom w:val="none" w:sz="0" w:space="0" w:color="auto"/>
            <w:right w:val="none" w:sz="0" w:space="0" w:color="auto"/>
          </w:divBdr>
          <w:divsChild>
            <w:div w:id="2043355443">
              <w:marLeft w:val="0"/>
              <w:marRight w:val="0"/>
              <w:marTop w:val="0"/>
              <w:marBottom w:val="0"/>
              <w:divBdr>
                <w:top w:val="none" w:sz="0" w:space="0" w:color="auto"/>
                <w:left w:val="none" w:sz="0" w:space="0" w:color="auto"/>
                <w:bottom w:val="none" w:sz="0" w:space="0" w:color="auto"/>
                <w:right w:val="none" w:sz="0" w:space="0" w:color="auto"/>
              </w:divBdr>
              <w:divsChild>
                <w:div w:id="278529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8875164">
      <w:bodyDiv w:val="1"/>
      <w:marLeft w:val="0"/>
      <w:marRight w:val="0"/>
      <w:marTop w:val="0"/>
      <w:marBottom w:val="0"/>
      <w:divBdr>
        <w:top w:val="none" w:sz="0" w:space="0" w:color="auto"/>
        <w:left w:val="none" w:sz="0" w:space="0" w:color="auto"/>
        <w:bottom w:val="none" w:sz="0" w:space="0" w:color="auto"/>
        <w:right w:val="none" w:sz="0" w:space="0" w:color="auto"/>
      </w:divBdr>
      <w:divsChild>
        <w:div w:id="907107527">
          <w:marLeft w:val="0"/>
          <w:marRight w:val="0"/>
          <w:marTop w:val="100"/>
          <w:marBottom w:val="100"/>
          <w:divBdr>
            <w:top w:val="none" w:sz="0" w:space="0" w:color="auto"/>
            <w:left w:val="none" w:sz="0" w:space="0" w:color="auto"/>
            <w:bottom w:val="none" w:sz="0" w:space="0" w:color="auto"/>
            <w:right w:val="none" w:sz="0" w:space="0" w:color="auto"/>
          </w:divBdr>
          <w:divsChild>
            <w:div w:id="1393457098">
              <w:marLeft w:val="0"/>
              <w:marRight w:val="0"/>
              <w:marTop w:val="0"/>
              <w:marBottom w:val="0"/>
              <w:divBdr>
                <w:top w:val="none" w:sz="0" w:space="0" w:color="auto"/>
                <w:left w:val="none" w:sz="0" w:space="0" w:color="auto"/>
                <w:bottom w:val="none" w:sz="0" w:space="0" w:color="auto"/>
                <w:right w:val="none" w:sz="0" w:space="0" w:color="auto"/>
              </w:divBdr>
              <w:divsChild>
                <w:div w:id="772939303">
                  <w:marLeft w:val="0"/>
                  <w:marRight w:val="0"/>
                  <w:marTop w:val="0"/>
                  <w:marBottom w:val="0"/>
                  <w:divBdr>
                    <w:top w:val="none" w:sz="0" w:space="0" w:color="auto"/>
                    <w:left w:val="none" w:sz="0" w:space="0" w:color="auto"/>
                    <w:bottom w:val="none" w:sz="0" w:space="0" w:color="auto"/>
                    <w:right w:val="none" w:sz="0" w:space="0" w:color="auto"/>
                  </w:divBdr>
                  <w:divsChild>
                    <w:div w:id="497421804">
                      <w:marLeft w:val="0"/>
                      <w:marRight w:val="0"/>
                      <w:marTop w:val="100"/>
                      <w:marBottom w:val="157"/>
                      <w:divBdr>
                        <w:top w:val="none" w:sz="0" w:space="0" w:color="auto"/>
                        <w:left w:val="none" w:sz="0" w:space="0" w:color="auto"/>
                        <w:bottom w:val="none" w:sz="0" w:space="0" w:color="auto"/>
                        <w:right w:val="none" w:sz="0" w:space="0" w:color="auto"/>
                      </w:divBdr>
                      <w:divsChild>
                        <w:div w:id="1179346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6140391">
      <w:bodyDiv w:val="1"/>
      <w:marLeft w:val="0"/>
      <w:marRight w:val="0"/>
      <w:marTop w:val="0"/>
      <w:marBottom w:val="0"/>
      <w:divBdr>
        <w:top w:val="none" w:sz="0" w:space="0" w:color="auto"/>
        <w:left w:val="none" w:sz="0" w:space="0" w:color="auto"/>
        <w:bottom w:val="none" w:sz="0" w:space="0" w:color="auto"/>
        <w:right w:val="none" w:sz="0" w:space="0" w:color="auto"/>
      </w:divBdr>
    </w:div>
    <w:div w:id="1863934064">
      <w:bodyDiv w:val="1"/>
      <w:marLeft w:val="0"/>
      <w:marRight w:val="0"/>
      <w:marTop w:val="0"/>
      <w:marBottom w:val="0"/>
      <w:divBdr>
        <w:top w:val="none" w:sz="0" w:space="0" w:color="auto"/>
        <w:left w:val="none" w:sz="0" w:space="0" w:color="auto"/>
        <w:bottom w:val="none" w:sz="0" w:space="0" w:color="auto"/>
        <w:right w:val="none" w:sz="0" w:space="0" w:color="auto"/>
      </w:divBdr>
    </w:div>
    <w:div w:id="1921089095">
      <w:bodyDiv w:val="1"/>
      <w:marLeft w:val="0"/>
      <w:marRight w:val="0"/>
      <w:marTop w:val="0"/>
      <w:marBottom w:val="0"/>
      <w:divBdr>
        <w:top w:val="none" w:sz="0" w:space="0" w:color="auto"/>
        <w:left w:val="none" w:sz="0" w:space="0" w:color="auto"/>
        <w:bottom w:val="none" w:sz="0" w:space="0" w:color="auto"/>
        <w:right w:val="none" w:sz="0" w:space="0" w:color="auto"/>
      </w:divBdr>
      <w:divsChild>
        <w:div w:id="1374960263">
          <w:marLeft w:val="0"/>
          <w:marRight w:val="0"/>
          <w:marTop w:val="0"/>
          <w:marBottom w:val="0"/>
          <w:divBdr>
            <w:top w:val="none" w:sz="0" w:space="0" w:color="auto"/>
            <w:left w:val="none" w:sz="0" w:space="0" w:color="auto"/>
            <w:bottom w:val="none" w:sz="0" w:space="0" w:color="auto"/>
            <w:right w:val="none" w:sz="0" w:space="0" w:color="auto"/>
          </w:divBdr>
          <w:divsChild>
            <w:div w:id="502863499">
              <w:marLeft w:val="0"/>
              <w:marRight w:val="0"/>
              <w:marTop w:val="0"/>
              <w:marBottom w:val="0"/>
              <w:divBdr>
                <w:top w:val="none" w:sz="0" w:space="0" w:color="auto"/>
                <w:left w:val="none" w:sz="0" w:space="0" w:color="auto"/>
                <w:bottom w:val="none" w:sz="0" w:space="0" w:color="auto"/>
                <w:right w:val="none" w:sz="0" w:space="0" w:color="auto"/>
              </w:divBdr>
              <w:divsChild>
                <w:div w:id="78646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9230695">
      <w:marLeft w:val="0"/>
      <w:marRight w:val="0"/>
      <w:marTop w:val="0"/>
      <w:marBottom w:val="0"/>
      <w:divBdr>
        <w:top w:val="none" w:sz="0" w:space="0" w:color="auto"/>
        <w:left w:val="none" w:sz="0" w:space="0" w:color="auto"/>
        <w:bottom w:val="none" w:sz="0" w:space="0" w:color="auto"/>
        <w:right w:val="none" w:sz="0" w:space="0" w:color="auto"/>
      </w:divBdr>
    </w:div>
    <w:div w:id="2019230696">
      <w:marLeft w:val="0"/>
      <w:marRight w:val="0"/>
      <w:marTop w:val="0"/>
      <w:marBottom w:val="0"/>
      <w:divBdr>
        <w:top w:val="none" w:sz="0" w:space="0" w:color="auto"/>
        <w:left w:val="none" w:sz="0" w:space="0" w:color="auto"/>
        <w:bottom w:val="none" w:sz="0" w:space="0" w:color="auto"/>
        <w:right w:val="none" w:sz="0" w:space="0" w:color="auto"/>
      </w:divBdr>
    </w:div>
    <w:div w:id="2019230697">
      <w:marLeft w:val="0"/>
      <w:marRight w:val="0"/>
      <w:marTop w:val="0"/>
      <w:marBottom w:val="0"/>
      <w:divBdr>
        <w:top w:val="none" w:sz="0" w:space="0" w:color="auto"/>
        <w:left w:val="none" w:sz="0" w:space="0" w:color="auto"/>
        <w:bottom w:val="none" w:sz="0" w:space="0" w:color="auto"/>
        <w:right w:val="none" w:sz="0" w:space="0" w:color="auto"/>
      </w:divBdr>
    </w:div>
    <w:div w:id="2019230698">
      <w:marLeft w:val="0"/>
      <w:marRight w:val="0"/>
      <w:marTop w:val="0"/>
      <w:marBottom w:val="0"/>
      <w:divBdr>
        <w:top w:val="none" w:sz="0" w:space="0" w:color="auto"/>
        <w:left w:val="none" w:sz="0" w:space="0" w:color="auto"/>
        <w:bottom w:val="none" w:sz="0" w:space="0" w:color="auto"/>
        <w:right w:val="none" w:sz="0" w:space="0" w:color="auto"/>
      </w:divBdr>
    </w:div>
    <w:div w:id="2019230699">
      <w:marLeft w:val="0"/>
      <w:marRight w:val="0"/>
      <w:marTop w:val="0"/>
      <w:marBottom w:val="0"/>
      <w:divBdr>
        <w:top w:val="none" w:sz="0" w:space="0" w:color="auto"/>
        <w:left w:val="none" w:sz="0" w:space="0" w:color="auto"/>
        <w:bottom w:val="none" w:sz="0" w:space="0" w:color="auto"/>
        <w:right w:val="none" w:sz="0" w:space="0" w:color="auto"/>
      </w:divBdr>
    </w:div>
    <w:div w:id="2019230700">
      <w:marLeft w:val="0"/>
      <w:marRight w:val="0"/>
      <w:marTop w:val="0"/>
      <w:marBottom w:val="0"/>
      <w:divBdr>
        <w:top w:val="none" w:sz="0" w:space="0" w:color="auto"/>
        <w:left w:val="none" w:sz="0" w:space="0" w:color="auto"/>
        <w:bottom w:val="none" w:sz="0" w:space="0" w:color="auto"/>
        <w:right w:val="none" w:sz="0" w:space="0" w:color="auto"/>
      </w:divBdr>
    </w:div>
    <w:div w:id="2019230701">
      <w:marLeft w:val="0"/>
      <w:marRight w:val="0"/>
      <w:marTop w:val="0"/>
      <w:marBottom w:val="0"/>
      <w:divBdr>
        <w:top w:val="none" w:sz="0" w:space="0" w:color="auto"/>
        <w:left w:val="none" w:sz="0" w:space="0" w:color="auto"/>
        <w:bottom w:val="none" w:sz="0" w:space="0" w:color="auto"/>
        <w:right w:val="none" w:sz="0" w:space="0" w:color="auto"/>
      </w:divBdr>
    </w:div>
    <w:div w:id="2019230702">
      <w:marLeft w:val="0"/>
      <w:marRight w:val="0"/>
      <w:marTop w:val="0"/>
      <w:marBottom w:val="0"/>
      <w:divBdr>
        <w:top w:val="none" w:sz="0" w:space="0" w:color="auto"/>
        <w:left w:val="none" w:sz="0" w:space="0" w:color="auto"/>
        <w:bottom w:val="none" w:sz="0" w:space="0" w:color="auto"/>
        <w:right w:val="none" w:sz="0" w:space="0" w:color="auto"/>
      </w:divBdr>
    </w:div>
    <w:div w:id="2019230703">
      <w:marLeft w:val="0"/>
      <w:marRight w:val="0"/>
      <w:marTop w:val="0"/>
      <w:marBottom w:val="0"/>
      <w:divBdr>
        <w:top w:val="none" w:sz="0" w:space="0" w:color="auto"/>
        <w:left w:val="none" w:sz="0" w:space="0" w:color="auto"/>
        <w:bottom w:val="none" w:sz="0" w:space="0" w:color="auto"/>
        <w:right w:val="none" w:sz="0" w:space="0" w:color="auto"/>
      </w:divBdr>
    </w:div>
    <w:div w:id="2019230704">
      <w:marLeft w:val="0"/>
      <w:marRight w:val="0"/>
      <w:marTop w:val="0"/>
      <w:marBottom w:val="0"/>
      <w:divBdr>
        <w:top w:val="none" w:sz="0" w:space="0" w:color="auto"/>
        <w:left w:val="none" w:sz="0" w:space="0" w:color="auto"/>
        <w:bottom w:val="none" w:sz="0" w:space="0" w:color="auto"/>
        <w:right w:val="none" w:sz="0" w:space="0" w:color="auto"/>
      </w:divBdr>
    </w:div>
    <w:div w:id="2019230705">
      <w:marLeft w:val="0"/>
      <w:marRight w:val="0"/>
      <w:marTop w:val="0"/>
      <w:marBottom w:val="0"/>
      <w:divBdr>
        <w:top w:val="none" w:sz="0" w:space="0" w:color="auto"/>
        <w:left w:val="none" w:sz="0" w:space="0" w:color="auto"/>
        <w:bottom w:val="none" w:sz="0" w:space="0" w:color="auto"/>
        <w:right w:val="none" w:sz="0" w:space="0" w:color="auto"/>
      </w:divBdr>
    </w:div>
    <w:div w:id="2019230706">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en.wikipedia.org/wiki/Management_information"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yperlink" Target="http://en.wikipedia.org/wiki/Customer_relationship_management" TargetMode="Externa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en.wikipedia.org/wiki/Fina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4596</Words>
  <Characters>28269</Characters>
  <Application>Microsoft Office Word</Application>
  <DocSecurity>0</DocSecurity>
  <Lines>235</Lines>
  <Paragraphs>65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32800</CharactersWithSpaces>
  <SharedDoc>false</SharedDoc>
  <HLinks>
    <vt:vector size="30" baseType="variant">
      <vt:variant>
        <vt:i4>2490475</vt:i4>
      </vt:variant>
      <vt:variant>
        <vt:i4>21</vt:i4>
      </vt:variant>
      <vt:variant>
        <vt:i4>0</vt:i4>
      </vt:variant>
      <vt:variant>
        <vt:i4>5</vt:i4>
      </vt:variant>
      <vt:variant>
        <vt:lpwstr>http://en.wikipedia.org/wiki/Customer_relationship_management</vt:lpwstr>
      </vt:variant>
      <vt:variant>
        <vt:lpwstr/>
      </vt:variant>
      <vt:variant>
        <vt:i4>1835102</vt:i4>
      </vt:variant>
      <vt:variant>
        <vt:i4>18</vt:i4>
      </vt:variant>
      <vt:variant>
        <vt:i4>0</vt:i4>
      </vt:variant>
      <vt:variant>
        <vt:i4>5</vt:i4>
      </vt:variant>
      <vt:variant>
        <vt:lpwstr>http://en.wikipedia.org/wiki/Finance</vt:lpwstr>
      </vt:variant>
      <vt:variant>
        <vt:lpwstr/>
      </vt:variant>
      <vt:variant>
        <vt:i4>5242932</vt:i4>
      </vt:variant>
      <vt:variant>
        <vt:i4>15</vt:i4>
      </vt:variant>
      <vt:variant>
        <vt:i4>0</vt:i4>
      </vt:variant>
      <vt:variant>
        <vt:i4>5</vt:i4>
      </vt:variant>
      <vt:variant>
        <vt:lpwstr>http://en.wikipedia.org/wiki/Management_information</vt:lpwstr>
      </vt:variant>
      <vt:variant>
        <vt:lpwstr/>
      </vt:variant>
      <vt:variant>
        <vt:i4>1048629</vt:i4>
      </vt:variant>
      <vt:variant>
        <vt:i4>8</vt:i4>
      </vt:variant>
      <vt:variant>
        <vt:i4>0</vt:i4>
      </vt:variant>
      <vt:variant>
        <vt:i4>5</vt:i4>
      </vt:variant>
      <vt:variant>
        <vt:lpwstr/>
      </vt:variant>
      <vt:variant>
        <vt:lpwstr>_Toc340751358</vt:lpwstr>
      </vt:variant>
      <vt:variant>
        <vt:i4>1048629</vt:i4>
      </vt:variant>
      <vt:variant>
        <vt:i4>2</vt:i4>
      </vt:variant>
      <vt:variant>
        <vt:i4>0</vt:i4>
      </vt:variant>
      <vt:variant>
        <vt:i4>5</vt:i4>
      </vt:variant>
      <vt:variant>
        <vt:lpwstr/>
      </vt:variant>
      <vt:variant>
        <vt:lpwstr>_Toc340751357</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2013-04-15T20:26:00Z</dcterms:created>
  <dcterms:modified xsi:type="dcterms:W3CDTF">2013-05-14T15:21:00Z</dcterms:modified>
</cp:coreProperties>
</file>