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166" w:rsidRPr="00356166" w:rsidRDefault="00356166" w:rsidP="00356166">
      <w:pPr>
        <w:pStyle w:val="ListParagraph"/>
        <w:widowControl w:val="0"/>
        <w:tabs>
          <w:tab w:val="left" w:pos="720"/>
          <w:tab w:val="left" w:pos="3000"/>
        </w:tabs>
        <w:autoSpaceDE w:val="0"/>
        <w:autoSpaceDN w:val="0"/>
        <w:adjustRightInd w:val="0"/>
        <w:spacing w:line="280" w:lineRule="atLeast"/>
        <w:ind w:left="0"/>
        <w:contextualSpacing/>
        <w:rPr>
          <w:rFonts w:ascii="Times New Roman" w:hAnsi="Times New Roman"/>
          <w:color w:val="000000"/>
          <w:sz w:val="18"/>
          <w:szCs w:val="18"/>
        </w:rPr>
      </w:pPr>
      <w:r>
        <w:rPr>
          <w:b/>
          <w:i/>
        </w:rPr>
        <w:t xml:space="preserve">Previously Answered Questions </w:t>
      </w:r>
      <w:r w:rsidRPr="00356166">
        <w:rPr>
          <w:rFonts w:ascii="Times New Roman" w:hAnsi="Times New Roman"/>
          <w:sz w:val="18"/>
          <w:szCs w:val="18"/>
        </w:rPr>
        <w:t>(Note</w:t>
      </w:r>
      <w:r>
        <w:rPr>
          <w:rFonts w:ascii="Times New Roman" w:hAnsi="Times New Roman"/>
          <w:sz w:val="18"/>
          <w:szCs w:val="18"/>
        </w:rPr>
        <w:t>:</w:t>
      </w:r>
      <w:r w:rsidRPr="00356166">
        <w:rPr>
          <w:rFonts w:ascii="Times New Roman" w:hAnsi="Times New Roman"/>
          <w:sz w:val="18"/>
          <w:szCs w:val="18"/>
        </w:rPr>
        <w:t xml:space="preserve"> answers with strikethrough have been revised. </w:t>
      </w:r>
      <w:r w:rsidRPr="00356166">
        <w:rPr>
          <w:rFonts w:ascii="Times New Roman" w:hAnsi="Times New Roman"/>
          <w:color w:val="000000"/>
          <w:sz w:val="18"/>
          <w:szCs w:val="18"/>
        </w:rPr>
        <w:t>The revised answers can be found in the “New and Revised Answers” section of this document.</w:t>
      </w:r>
      <w:r>
        <w:rPr>
          <w:rFonts w:ascii="Times New Roman" w:hAnsi="Times New Roman"/>
          <w:color w:val="000000"/>
          <w:sz w:val="18"/>
          <w:szCs w:val="18"/>
        </w:rPr>
        <w:t>)</w:t>
      </w:r>
    </w:p>
    <w:tbl>
      <w:tblPr>
        <w:tblW w:w="175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58"/>
        <w:gridCol w:w="302"/>
        <w:gridCol w:w="1710"/>
        <w:gridCol w:w="1153"/>
        <w:gridCol w:w="17"/>
        <w:gridCol w:w="1080"/>
        <w:gridCol w:w="8"/>
        <w:gridCol w:w="7192"/>
        <w:gridCol w:w="5670"/>
      </w:tblGrid>
      <w:tr w:rsidR="00961AA2" w:rsidRPr="005250E8" w:rsidTr="00B3699F">
        <w:trPr>
          <w:cantSplit/>
          <w:tblHeader/>
        </w:trPr>
        <w:tc>
          <w:tcPr>
            <w:tcW w:w="17550" w:type="dxa"/>
            <w:gridSpan w:val="10"/>
            <w:shd w:val="clear" w:color="auto" w:fill="C6D9F1" w:themeFill="text2" w:themeFillTint="33"/>
          </w:tcPr>
          <w:p w:rsidR="00961AA2" w:rsidRPr="001A443A" w:rsidRDefault="00961AA2" w:rsidP="00023171">
            <w:pPr>
              <w:pStyle w:val="NoSpacing"/>
              <w:spacing w:before="60" w:after="60"/>
              <w:rPr>
                <w:rFonts w:ascii="Times New Roman" w:hAnsi="Times New Roman"/>
                <w:b/>
                <w:sz w:val="18"/>
                <w:szCs w:val="18"/>
              </w:rPr>
            </w:pPr>
            <w:r w:rsidRPr="001A443A">
              <w:rPr>
                <w:rFonts w:ascii="Times New Roman" w:hAnsi="Times New Roman"/>
                <w:b/>
                <w:i/>
                <w:sz w:val="18"/>
                <w:szCs w:val="18"/>
              </w:rPr>
              <w:t>Addendum 3 - Round 1, Part 1</w:t>
            </w:r>
          </w:p>
        </w:tc>
      </w:tr>
      <w:tr w:rsidR="00961AA2" w:rsidRPr="005250E8" w:rsidTr="00B3699F">
        <w:trPr>
          <w:cantSplit/>
          <w:tblHeader/>
        </w:trPr>
        <w:tc>
          <w:tcPr>
            <w:tcW w:w="720" w:type="dxa"/>
            <w:gridSpan w:val="3"/>
            <w:shd w:val="clear" w:color="auto" w:fill="C6D9F1" w:themeFill="text2" w:themeFillTint="33"/>
          </w:tcPr>
          <w:p w:rsidR="00961AA2" w:rsidRPr="001A443A" w:rsidRDefault="00961AA2" w:rsidP="00023171">
            <w:pPr>
              <w:pStyle w:val="ListParagraph"/>
              <w:tabs>
                <w:tab w:val="left" w:pos="155"/>
              </w:tabs>
              <w:spacing w:before="60" w:after="60"/>
              <w:ind w:left="0"/>
              <w:jc w:val="center"/>
              <w:rPr>
                <w:rFonts w:ascii="Times New Roman" w:hAnsi="Times New Roman"/>
                <w:b/>
                <w:color w:val="000000" w:themeColor="text1"/>
                <w:sz w:val="18"/>
                <w:szCs w:val="18"/>
              </w:rPr>
            </w:pPr>
          </w:p>
        </w:tc>
        <w:tc>
          <w:tcPr>
            <w:tcW w:w="1710" w:type="dxa"/>
            <w:shd w:val="clear" w:color="auto" w:fill="C6D9F1" w:themeFill="text2" w:themeFillTint="33"/>
          </w:tcPr>
          <w:p w:rsidR="00961AA2" w:rsidRPr="001A443A" w:rsidRDefault="00961AA2" w:rsidP="00023171">
            <w:pPr>
              <w:pStyle w:val="NoSpacing"/>
              <w:tabs>
                <w:tab w:val="left" w:pos="1221"/>
              </w:tabs>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153" w:type="dxa"/>
            <w:shd w:val="clear" w:color="auto" w:fill="C6D9F1" w:themeFill="text2" w:themeFillTint="33"/>
          </w:tcPr>
          <w:p w:rsidR="00961AA2" w:rsidRPr="001A443A" w:rsidRDefault="00961AA2" w:rsidP="00023171">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1105" w:type="dxa"/>
            <w:gridSpan w:val="3"/>
            <w:shd w:val="clear" w:color="auto" w:fill="C6D9F1" w:themeFill="text2" w:themeFillTint="33"/>
          </w:tcPr>
          <w:p w:rsidR="00961AA2" w:rsidRPr="001A443A" w:rsidRDefault="00961AA2" w:rsidP="00023171">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7192" w:type="dxa"/>
            <w:shd w:val="clear" w:color="auto" w:fill="C6D9F1" w:themeFill="text2" w:themeFillTint="33"/>
          </w:tcPr>
          <w:p w:rsidR="00961AA2" w:rsidRPr="001A443A" w:rsidRDefault="00961AA2" w:rsidP="00023171">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5670" w:type="dxa"/>
            <w:shd w:val="clear" w:color="auto" w:fill="C6D9F1" w:themeFill="text2" w:themeFillTint="33"/>
          </w:tcPr>
          <w:p w:rsidR="00961AA2" w:rsidRPr="001A443A" w:rsidRDefault="00961AA2" w:rsidP="00023171">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B3699F">
            <w:pPr>
              <w:spacing w:before="60" w:after="60"/>
              <w:rPr>
                <w:color w:val="000000" w:themeColor="text1"/>
                <w:sz w:val="18"/>
                <w:szCs w:val="18"/>
              </w:rPr>
            </w:pPr>
            <w:r w:rsidRPr="001A443A">
              <w:rPr>
                <w:color w:val="000000" w:themeColor="text1"/>
                <w:sz w:val="18"/>
                <w:szCs w:val="18"/>
              </w:rPr>
              <w:t>As the Commonwealth has required financial background info for the Offerors, and likely they will be publically traded companies. As a result, they will be subject to Sarbanes-Oxley.  In this light, it is required that firms have the ability to identity all liabilities to shareholders and the SEC.  The RFP identifies unlimited liability in several areas not limited to security breaches.  This provides unreasonable expectations as all liabilities are expected to be quantified.  Will the Commonwealth please consider limiting all liability as it pertains to this contract?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2(f)(1)</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&amp;</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Sec. 5(a)</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Pages 2 and 4</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 Sec. 2(f)(1) of the contract states that no handwritten signatures will be required in order for the Contract or Purchase Order to be legally enforceable, whereas Sec. 5(a) suggests that the contract will include a signature page.</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spacing w:before="60" w:after="60"/>
              <w:rPr>
                <w:color w:val="000000" w:themeColor="text1"/>
                <w:sz w:val="18"/>
                <w:szCs w:val="18"/>
              </w:rPr>
            </w:pPr>
            <w:r w:rsidRPr="001A443A">
              <w:rPr>
                <w:color w:val="000000" w:themeColor="text1"/>
                <w:sz w:val="18"/>
                <w:szCs w:val="18"/>
              </w:rPr>
              <w:t>If signature pages are not required, will the Commonwealth please clarify how the parties will evidence their intent to enter into a binding contract?</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contract will include a signature page.  The selected Offeror will be required to sign the contract in ink.  All Commonwealth officials will sign the contract electronically.</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1.B</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Commonwealth states “Further, the Commonwealth reserves the right to extend this Contract or any part of this Contract up to three (3) months, or as necessary to prevent a lapse in Contract coverage”.  As currently written the Commonwealth reserves this right in perpetuity.  Is that the intent?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term of the contract will be for 7-years and may be extended by the Commonwealth for up to three additional years.  The referenced provision allows the Commonwealth to extend the contract for a period of time to avoid a lapse in contract coverage.</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1(a) Contract Term</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 estimated 18-30 month transition period included in the 7-year base contract?  Or does the 7-year term begin after transition is complete (18-30 month transition plus 7-years)?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transition period is included within the 7-year term.</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1(b)</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In the phrase “any part of this contract”, what constitutes a part i.e. a single system, a single agency, etc.?</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phrase refers to any Service or portion of a Service included in the contract.</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will the Purchase Order process be used and how does it differ from the Change Control procedures?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RFP references two types of change control procedures.  Section 27 (Change Control) of Appendix A sets out the procedures that will be used to modify the contract.  The RFP also references ITIL change control procedures that may be used to modify the configuration of an infrastructure component of a Service. </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Other than a purchase order serving as a notice to proceed, the Commonwealth does not anticipate issuing Purchase Orders during the term of this contract.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2(a)</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Page 2</w:t>
            </w: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Appendix A, Sec. 2(a): The contract states that the Commonwealth may issue one or more Purchase Orders against the Contract.  Will one purchase order be issued in connection with the base term of the agreement?</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Other than a purchase order serving as a notice to proceed, the Commonwealth does not anticipate issuing Purchase Orders during the term of this contract.</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do purchase orders align to the “Change Control Procedures” process defined in section 27?</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Other than a purchase order serving as a notice to proceed, the Commonwealth does not anticipate issuing Purchase Orders during the term of this contract.</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 (g)</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provide an estimate on the quantity of purchase orders over a monthly period where you expect that payment would be made using the Commonwealth Procurement Visa Card.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expects this to occur very infrequently.  Less than 5 times per year.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(b) (2) (ii)</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provide examples of incidental services, functions or responsibilities not specifically described in the contract.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provision speaks for itself.  Objections to the terms and conditions set forth in Appendix A may be made according to Part II-8 of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6.(j)</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also confirm that this includes all proprietary software not found in Section 8, but listed throughout the exhibits.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“Contractor Licenses and Permits” includes software licenses for the proprietary software listed throughout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6.(j)</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clarify that the use of the words “Contractor Licenses and Permits” also includes software licenses.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“Contractor Licenses and Permits” includes software licenses.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7(a)(1) Equipment</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8</w:t>
            </w: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 xml:space="preserve">“All replacements and upgrades shall be addressed through the Change Control Procedure.”  Does this mean any </w:t>
            </w:r>
            <w:r w:rsidRPr="001A443A">
              <w:rPr>
                <w:color w:val="000000" w:themeColor="text1"/>
                <w:sz w:val="18"/>
                <w:szCs w:val="18"/>
                <w:u w:val="single"/>
              </w:rPr>
              <w:t>hardware refresh should be excluded</w:t>
            </w:r>
            <w:r w:rsidRPr="001A443A">
              <w:rPr>
                <w:color w:val="000000" w:themeColor="text1"/>
                <w:sz w:val="18"/>
                <w:szCs w:val="18"/>
              </w:rPr>
              <w:t xml:space="preserve"> from RFP solution and pricing?</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replacements, upgrades and hardware refreshes must be included within the proposal and pricing.</w:t>
            </w:r>
          </w:p>
          <w:p w:rsidR="00961AA2" w:rsidRPr="001A443A" w:rsidRDefault="00961AA2" w:rsidP="00023171">
            <w:pPr>
              <w:pStyle w:val="NoSpacing"/>
              <w:spacing w:before="60" w:after="60"/>
              <w:rPr>
                <w:rFonts w:ascii="Times New Roman" w:hAnsi="Times New Roman"/>
                <w:color w:val="000000" w:themeColor="text1"/>
                <w:sz w:val="18"/>
                <w:szCs w:val="18"/>
              </w:rPr>
            </w:pP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(i)</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Who will manage Internet ingress points?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Initially, all internet ingress to the Commonwealth’s Applications and Data is to be delivered to the Offeror’s datacenters via the Commonwealth’s private data network (COPANET).  However, as a future option, the Commonwealth may desire to have direct access between the users and the datacenter.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6(g)</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Does DC adjacency FROR extend to virtual conditions like a shared mainframe?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Please clarify the question so that the Commonwealth may respond.  What is meant by adjacency?</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(c)</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In a scenario where the Commonwealth decides to “in source or re-procure any or all of the services”, what is the process for termination of such services?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Refer to Section 32 (Termination) of Appendix A. </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(g)</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be aware that in many cases Service Providers cannot provide client names that may share environments due to security and contractual related issues.  As a result, please explain in what circumstance the Commonwealth would not approve a third-party proposed to share the data processing environment.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Section 6(g) of Appendix A provides detail on this topic. </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(i)</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 Commonwealth requesting that the Contractor provide remote access to the hosted services or provide remote access as a service to enable Commonwealth personnel access to their internal networks (hosted or offices)?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Commonwealth is requiring the ability for secure remote access to hosted systems for operational and administration purposes for designated personnel.  </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currently has VPN services hosted by Verizon as part of its Telecom Contract.</w:t>
            </w:r>
          </w:p>
          <w:p w:rsidR="00961AA2" w:rsidRPr="001A443A" w:rsidRDefault="00961AA2" w:rsidP="00023171">
            <w:pPr>
              <w:pStyle w:val="NoSpacing"/>
              <w:spacing w:before="60" w:after="60"/>
              <w:rPr>
                <w:rFonts w:ascii="Times New Roman" w:hAnsi="Times New Roman"/>
                <w:color w:val="000000" w:themeColor="text1"/>
                <w:sz w:val="18"/>
                <w:szCs w:val="18"/>
              </w:rPr>
            </w:pP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(d)</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With respect to a decrease in services, what is the committed baseline of services?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is no committed baseline.</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(g)</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From the point of request for approval, how long will it take the Commonwealth to provide approval?</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question is related to the approval of a new datacenter facility and duration is variable based on many factors.  Some of the factors include (but are not limited to) a review of the SSA16 audit reviews, Security policies and architecture, networking policies and architecture, and subcontractor approvals.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 (k)</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 xml:space="preserve">Has the Commonwealth had audits to determine where exposures and current non-compliance with regulations exists? </w:t>
            </w: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r w:rsidRPr="001A443A">
              <w:rPr>
                <w:color w:val="000000" w:themeColor="text1"/>
                <w:sz w:val="18"/>
                <w:szCs w:val="18"/>
              </w:rPr>
              <w:t>Could results be shared with vendors?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7.(a)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8</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This section states that the “Contractor shall maintain, replace and upgrade the Contractor Machines at its sole cost and expense.”  Does this include all technology refreshes?</w:t>
            </w:r>
          </w:p>
          <w:p w:rsidR="00961AA2" w:rsidRPr="001A443A" w:rsidRDefault="00961AA2" w:rsidP="00023171">
            <w:pPr>
              <w:spacing w:before="60" w:after="60"/>
              <w:rPr>
                <w:color w:val="000000" w:themeColor="text1"/>
                <w:sz w:val="18"/>
                <w:szCs w:val="18"/>
              </w:rPr>
            </w:pPr>
            <w:r w:rsidRPr="001A443A">
              <w:rPr>
                <w:color w:val="000000" w:themeColor="text1"/>
                <w:sz w:val="18"/>
                <w:szCs w:val="18"/>
              </w:rPr>
              <w:br/>
              <w:t>There is a requirement to replace “Commonwealth Machine” at its respective end of life.  Will this replacement be at the Commonwealth expense?</w:t>
            </w:r>
          </w:p>
          <w:p w:rsidR="00961AA2" w:rsidRPr="001A443A" w:rsidRDefault="00961AA2" w:rsidP="00023171">
            <w:pPr>
              <w:spacing w:before="60" w:after="60"/>
              <w:rPr>
                <w:color w:val="000000" w:themeColor="text1"/>
                <w:sz w:val="18"/>
                <w:szCs w:val="18"/>
              </w:rPr>
            </w:pPr>
            <w:r w:rsidRPr="001A443A">
              <w:rPr>
                <w:color w:val="000000" w:themeColor="text1"/>
                <w:sz w:val="18"/>
                <w:szCs w:val="18"/>
              </w:rPr>
              <w:br/>
              <w:t>Does this requirement to replace a system at the “end of life” also apply to the “Contractor Machines” and at the service provider’s expense?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Yes, this includes all technology refreshes.  </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Commonwealth will not purchase new machines.  The Commonwealth is procuring computing services and will no longer be purchasing equipment.</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procuring computing services.  The contractor will be required to purchase machines to provide the Services required by the contract.</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7.a.1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8</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There does not appear to be a definition in either Appendix A or Schedule A for “Commonwealth Machine”.  Please define.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 “Commonwealth Machine” is a piece of equipment that is owned or leased by the Commonwealth.</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 (a)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Will Offeror have any responsibility for logical access (LDAP, Exchange, Active Directory, etc.)?</w:t>
            </w:r>
          </w:p>
        </w:tc>
        <w:tc>
          <w:tcPr>
            <w:tcW w:w="5670" w:type="dxa"/>
            <w:tcBorders>
              <w:top w:val="single" w:sz="4" w:space="0" w:color="auto"/>
              <w:left w:val="single" w:sz="4" w:space="0" w:color="auto"/>
              <w:bottom w:val="single" w:sz="4" w:space="0" w:color="auto"/>
              <w:right w:val="single" w:sz="4" w:space="0" w:color="auto"/>
            </w:tcBorders>
          </w:tcPr>
          <w:p w:rsidR="00961AA2" w:rsidRPr="00F46CA1" w:rsidRDefault="004229EA" w:rsidP="00023171">
            <w:pPr>
              <w:pStyle w:val="NoSpacing"/>
              <w:spacing w:before="60" w:after="60"/>
              <w:rPr>
                <w:rFonts w:ascii="Times New Roman" w:hAnsi="Times New Roman"/>
                <w:strike/>
                <w:color w:val="FF0000"/>
                <w:sz w:val="18"/>
                <w:szCs w:val="18"/>
              </w:rPr>
            </w:pPr>
            <w:r w:rsidRPr="004229EA">
              <w:rPr>
                <w:rFonts w:ascii="Times New Roman" w:hAnsi="Times New Roman"/>
                <w:strike/>
                <w:color w:val="FF0000"/>
                <w:sz w:val="18"/>
                <w:szCs w:val="18"/>
              </w:rPr>
              <w:t>Exchange as a Service is included within the scope of the RFP but the other services such as LDAP and Active Directory will remain under the Commonwealth’s control.  However, the selected Offeror must provide the equipment to operate these services.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 (b)</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rPr>
                <w:color w:val="000000" w:themeColor="text1"/>
                <w:sz w:val="18"/>
                <w:szCs w:val="18"/>
              </w:rPr>
            </w:pPr>
            <w:r w:rsidRPr="001A443A">
              <w:rPr>
                <w:color w:val="000000" w:themeColor="text1"/>
                <w:sz w:val="18"/>
                <w:szCs w:val="18"/>
              </w:rPr>
              <w:t>The RFP states that the contractor cannot store data outside of the United States. Is it permissible for staff outside of the United States to access Commonwealth data stored in the US?</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unless approved by the Commonwealth.</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 (a)</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w:t>
            </w:r>
          </w:p>
        </w:tc>
        <w:tc>
          <w:tcPr>
            <w:tcW w:w="719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spacing w:before="60" w:after="60"/>
              <w:rPr>
                <w:color w:val="000000" w:themeColor="text1"/>
                <w:sz w:val="18"/>
                <w:szCs w:val="18"/>
              </w:rPr>
            </w:pPr>
            <w:r w:rsidRPr="001A443A">
              <w:rPr>
                <w:color w:val="000000" w:themeColor="text1"/>
                <w:sz w:val="18"/>
                <w:szCs w:val="18"/>
              </w:rPr>
              <w:t>As indicated, the Commonwealth will retain administration of logical and data access security.  Does this mean that the Commonwealth retains ID administration on all systems or will just manage the process and expect the Contractor to provide the ID administration service on all supported environments?</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has implemented IBM’s Tivoli Identity Manager, SiteMinder and CA Identity Minder to manage the users and applications within some systems</w:t>
            </w:r>
            <w:r w:rsidRPr="001A443A">
              <w:rPr>
                <w:rFonts w:ascii="Times New Roman" w:hAnsi="Times New Roman"/>
                <w:b/>
                <w:color w:val="000000" w:themeColor="text1"/>
                <w:sz w:val="18"/>
                <w:szCs w:val="18"/>
              </w:rPr>
              <w:t xml:space="preserve">. </w:t>
            </w:r>
            <w:r w:rsidRPr="001A443A">
              <w:rPr>
                <w:rFonts w:ascii="Times New Roman" w:hAnsi="Times New Roman"/>
                <w:color w:val="000000" w:themeColor="text1"/>
                <w:sz w:val="18"/>
                <w:szCs w:val="18"/>
              </w:rPr>
              <w:t xml:space="preserve"> However, some agencies require the Offeror to manage the System level IDs based on the application owner’s needs.  </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 (d)</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Requirements in section 9 (d) are in conflict with requirements in section 42 (d). Assuming that direction in 9 (d) prevails, can you please elaborate on the term “appropriately authenticated”, and provide information regarding encryption tools the Commonwealth would use to read the encrypted data?</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requirements of Section 9(d) are more specific than those in Section 42(d) and must be followed.  The Commonwealth will determine the appropriate encryption method.</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9. (a)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confirm that the Commonwealth will “retain administration of logical and data access security”.</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depends on the service being acquired from the agency.</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10 (c)</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12</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In an “enterprise-wide” survey, will the survey include all end-users of Commonwealth systems?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survey will include only the application owners and key management.</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13 (b) (3)</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does cost and expenses defined in this section differ from costs and expenses referenced in section 13 (d)?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Section 13 (d) details that funds from the “Reserve Account” are intended for capital improvements or major repairs to the EDC.  These projects support or improve the property or facility and will remain after this contract has terminated.  Section 13(b) addresses expenses for all maintenance, security and upkeep of the property under the contractor’s control.</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12 (d)</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Certain types of requirements can have an impact to the solution including requirements for physical separation and caged environments. Please provide Agency specific security requirements.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Agency specific security requirements are set forth in the RFP, including but not limited to the CJIS and CHIRA documentation.</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13(a)(1)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the Commonwealth consider an offer to buy the existing data center and lease it back to the Commonwealth as an integral part of a response to the RFP?</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13 (a) (1)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it a requirement that the vendor upgrade the Enterprise Data Center to a tier 3 equivalence?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12</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bCs/>
                <w:color w:val="000000" w:themeColor="text1"/>
                <w:sz w:val="18"/>
                <w:szCs w:val="18"/>
              </w:rPr>
              <w:t>Given that Section 12 requires Commonwealth approval for any Services performed from or at locations outside the continental United States, and that no Commonwealth approval has yet been provided, should a Contractor assume that all Services must be performed with US-based labor?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Yes, all Services must be performed with US based labor unless approved by the Commonwealth.  Offerors must submit proposals in accordance with the RFP requirements including Appendix A.  </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  Appendix D</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12(b)</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14</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Why is the Commonwealth not requiring the data centers to be located within the Commonwealth of Pennsylvania, thereby securing the jobs and tax revenue for the Commonwealth?</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requires a minimum of one datacenter be located within the Commonwealth of PA – the Enterprise Data Center.  To receive the best possible pricing, the Commonwealth is providing the option for Offerors to use their existing datacenters if they choose.</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12 (d)</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Commonwealth references DOD 5200.28-STD. This regulation has been superseded by DODI 8500.01 - is this acceptable to reference 8500.01 instead?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most current standard applies.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12 (d3)</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16</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Will agencies be required to perform data classifications and communicate that information in order for the Offeror to know what compliance and audit standards they must meet?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 the Commonwealth expects the Offeror to determine this during transition planning in cooperation with the application/data owner.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14 (a) (2)</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19</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Non-disruptive transitions are technically possible, but extremely costly. Will the Commonwealth consider some degree of downtime associated with transition that minimally impacts the business in order to contain costs?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the Commonwealth will consider a minimal amount of downtime during transition on a case-by-case basis.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13.b.1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Will Offeror be responsible for paying for rent, utilities, etc for the EDC facility?</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Refer to Section 13 (Conditions of Contractor’s Occupancy of Commonwealth Provided Real Property) of Appendix A.</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15 Disaster Recovery and Business Continuity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23</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 requires a DR plan every six months.  Could you please reconcile this with the Schedule F requirements as requested in the next question (#3)?</w:t>
            </w:r>
          </w:p>
        </w:tc>
        <w:tc>
          <w:tcPr>
            <w:tcW w:w="5670" w:type="dxa"/>
          </w:tcPr>
          <w:p w:rsidR="00961AA2" w:rsidRPr="001A443A" w:rsidRDefault="00961AA2" w:rsidP="00023171">
            <w:pPr>
              <w:pStyle w:val="NoSpacing"/>
              <w:spacing w:before="60" w:after="60"/>
              <w:rPr>
                <w:rFonts w:ascii="Times New Roman" w:hAnsi="Times New Roman"/>
                <w:color w:val="000000" w:themeColor="text1"/>
                <w:spacing w:val="-3"/>
                <w:sz w:val="18"/>
                <w:szCs w:val="18"/>
              </w:rPr>
            </w:pPr>
            <w:r w:rsidRPr="001A443A">
              <w:rPr>
                <w:rFonts w:ascii="Times New Roman" w:hAnsi="Times New Roman"/>
                <w:color w:val="000000" w:themeColor="text1"/>
                <w:spacing w:val="-3"/>
                <w:sz w:val="18"/>
                <w:szCs w:val="18"/>
              </w:rPr>
              <w:t>Appendix A states:  “Jointly with the Commonwealth, Contractor shall at least annually review and update the disaster recovery plan.”  It does not require a DR plan every six months.  It does, however require that the plan be tested every six months.</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Frequency of DR exercises will be at the discretion of the Commonwealth.  </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17 (c)</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This section refers to the role of Contractor Services Location Manager; however, this position is not defined in schedule G Staffing Plan and Key Positions. Is this a key role?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20</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29</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Can you please clarify when the monthly invoices are due to the Commonwealth?  Within the RFP documents, the invoicing section states the 15</w:t>
            </w:r>
            <w:r w:rsidRPr="001A443A">
              <w:rPr>
                <w:color w:val="000000" w:themeColor="text1"/>
                <w:sz w:val="18"/>
                <w:szCs w:val="18"/>
                <w:vertAlign w:val="superscript"/>
              </w:rPr>
              <w:t>th</w:t>
            </w:r>
            <w:r w:rsidRPr="001A443A">
              <w:rPr>
                <w:color w:val="000000" w:themeColor="text1"/>
                <w:sz w:val="18"/>
                <w:szCs w:val="18"/>
              </w:rPr>
              <w:t xml:space="preserve"> of the month that is being invoiced.  However within the SL credits section, there is reference that the invoice is provided to Commonwealth the month following (invoice in September for August monthly Services).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Invoices are due no later than the 15</w:t>
            </w:r>
            <w:r w:rsidRPr="001A443A">
              <w:rPr>
                <w:rFonts w:ascii="Times New Roman" w:hAnsi="Times New Roman"/>
                <w:color w:val="000000" w:themeColor="text1"/>
                <w:sz w:val="18"/>
                <w:szCs w:val="18"/>
                <w:vertAlign w:val="superscript"/>
              </w:rPr>
              <w:t>th</w:t>
            </w:r>
            <w:r w:rsidRPr="001A443A">
              <w:rPr>
                <w:rFonts w:ascii="Times New Roman" w:hAnsi="Times New Roman"/>
                <w:color w:val="000000" w:themeColor="text1"/>
                <w:sz w:val="18"/>
                <w:szCs w:val="18"/>
              </w:rPr>
              <w:t xml:space="preserve"> of the month following the service provided.  As described in the example, the invoice will be delivered no later than September 15</w:t>
            </w:r>
            <w:r w:rsidRPr="001A443A">
              <w:rPr>
                <w:rFonts w:ascii="Times New Roman" w:hAnsi="Times New Roman"/>
                <w:color w:val="000000" w:themeColor="text1"/>
                <w:sz w:val="18"/>
                <w:szCs w:val="18"/>
                <w:vertAlign w:val="superscript"/>
              </w:rPr>
              <w:t>th</w:t>
            </w:r>
            <w:r w:rsidRPr="001A443A">
              <w:rPr>
                <w:rFonts w:ascii="Times New Roman" w:hAnsi="Times New Roman"/>
                <w:color w:val="000000" w:themeColor="text1"/>
                <w:sz w:val="18"/>
                <w:szCs w:val="18"/>
              </w:rPr>
              <w:t xml:space="preserve"> for services provided during August.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23.c,d</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Page 31</w:t>
            </w: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clarify the difference between the 2 clauses other than the addition of “liquidated” in line 4 of 23.c?</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Please clarify the question.  Objections to the terms and conditions set forth in Appendix A may be made according to Part II-8 of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33.d.ii</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48</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If the Service Provider has employment contracts in place with its employees, compliance with this section may not be possible.  Given this, has the Commonwealth negotiated these terms with other vendors to reflect existing employment contracts?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43a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there a requirement for encryption of all data?</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Not all data - only data which requires encryption by IT policy, law, or other requirement of RFP.</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43 (a)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Does the phrase “appropriate encryption technologies” infer that a data classification exercise will take place in advance of actually enabling encryption?</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 the Commonwealth expects the Offeror to determine this during transition planning in cooperation with the application/data owner.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45(a),(1)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68-69</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This section states that “Approved Subcontractors” must provide insurance as described in this section.</w:t>
            </w:r>
            <w:r w:rsidRPr="001A443A">
              <w:rPr>
                <w:color w:val="000000" w:themeColor="text1"/>
                <w:sz w:val="18"/>
                <w:szCs w:val="18"/>
              </w:rPr>
              <w:br/>
              <w:t>Please confirm that this requirement also applies to all “Small Disadvantaged Businesses” that will all be listed as “Approved Subcontractors”.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Confirmed.  The insurance requirements apply to all subcontractors, including Small Diverse Businesses.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Appendix A Contract Terms and Conditions</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1(b) Contract Term</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Document states that the three option years pricing is “to be negotiated but consistent with and no less favorable than the pricing in force at the date of the renewal”.  Does this mean no price required now for the option years? Language implies pricing will be provided later at end of base contract.</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must provide prices for the option years as part of their proposals.  Refer to Schedule I (Offeror Pricing Forms).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r w:rsidRPr="001A443A">
              <w:rPr>
                <w:color w:val="000000" w:themeColor="text1"/>
                <w:sz w:val="18"/>
                <w:szCs w:val="18"/>
              </w:rPr>
              <w:br/>
              <w:t>Exhibit D.7</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13(b)</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16-18</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are the DR configurations and locations for machines in the EDC?</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are no DR configurations within the EDC.  However, there are DR facilities in Selinsgrove, Wyomissing, and Scranton that will be decommissioned with the full implementation of this RFP and resulting agreement.</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r w:rsidRPr="001A443A">
              <w:rPr>
                <w:color w:val="000000" w:themeColor="text1"/>
                <w:sz w:val="18"/>
                <w:szCs w:val="18"/>
              </w:rPr>
              <w:br/>
              <w:t>Exhibit D.7</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13(b)</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16-18</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 EDC capable of supporting water-cooled machines?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the EDC is capable of supporting water-cooled machines but is not configured to do so at this time.</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Appendix A</w:t>
            </w:r>
            <w:r w:rsidRPr="001A443A">
              <w:rPr>
                <w:color w:val="000000" w:themeColor="text1"/>
                <w:sz w:val="18"/>
                <w:szCs w:val="18"/>
              </w:rPr>
              <w:br/>
              <w:t>Schedule F</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12(a)</w:t>
            </w:r>
            <w:r w:rsidRPr="001A443A">
              <w:rPr>
                <w:color w:val="000000" w:themeColor="text1"/>
                <w:sz w:val="18"/>
                <w:szCs w:val="18"/>
              </w:rPr>
              <w:br/>
              <w:t>2.3.1</w:t>
            </w:r>
            <w:r w:rsidRPr="001A443A">
              <w:rPr>
                <w:color w:val="000000" w:themeColor="text1"/>
                <w:sz w:val="18"/>
                <w:szCs w:val="18"/>
              </w:rPr>
              <w:br/>
              <w:t>3.1.1(3)</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14</w:t>
            </w:r>
            <w:r w:rsidRPr="001A443A">
              <w:rPr>
                <w:color w:val="000000" w:themeColor="text1"/>
                <w:sz w:val="18"/>
                <w:szCs w:val="18"/>
              </w:rPr>
              <w:br/>
              <w:t xml:space="preserve"> 8</w:t>
            </w:r>
            <w:r w:rsidRPr="001A443A">
              <w:rPr>
                <w:color w:val="000000" w:themeColor="text1"/>
                <w:sz w:val="18"/>
                <w:szCs w:val="18"/>
              </w:rPr>
              <w:br/>
              <w:t>14</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Under what conditions can the Offerors make use of the existing Data Powerhouse facility for any class of services?</w:t>
            </w: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r w:rsidRPr="001A443A">
              <w:rPr>
                <w:color w:val="000000" w:themeColor="text1"/>
                <w:sz w:val="18"/>
                <w:szCs w:val="18"/>
              </w:rPr>
              <w:t>Can it be combined with the EDC to be considered a single facility for purposes of separation?</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cannot make use of the existing Data Power House facility.</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Asset list</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63"/>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Reviewing the Exhibit B.1 Asset list – multiple agencies are listed – is this an all-inclusive list? </w:t>
            </w:r>
          </w:p>
          <w:p w:rsidR="00961AA2" w:rsidRPr="001A443A" w:rsidRDefault="00961AA2" w:rsidP="00023171">
            <w:pPr>
              <w:pStyle w:val="ListParagraph"/>
              <w:spacing w:before="60" w:after="60"/>
              <w:ind w:left="63"/>
              <w:rPr>
                <w:rFonts w:ascii="Times New Roman" w:hAnsi="Times New Roman"/>
                <w:color w:val="000000" w:themeColor="text1"/>
                <w:sz w:val="18"/>
                <w:szCs w:val="18"/>
              </w:rPr>
            </w:pPr>
            <w:r w:rsidRPr="001A443A">
              <w:rPr>
                <w:rFonts w:ascii="Times New Roman" w:hAnsi="Times New Roman"/>
                <w:color w:val="000000" w:themeColor="text1"/>
                <w:sz w:val="18"/>
                <w:szCs w:val="18"/>
              </w:rPr>
              <w:t>Will OA’s assets be a part of the data center migration?</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Exhibit B.1 is only a list of DPH assets.  </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assets on that exhibit will be transferred only the applications will be migrated</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Defined Terms</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Schedule 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All</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There are terms in the RFP, Schedules and Appendices that have capitalized words; however, they are not included in the Schedule A Defined Terms.  When do you expect these capitalized words to be defined?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Please provide specific references to the undefined terms.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warranty of the roof and are the warranties conditions being maintained?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15 Years, 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open elevation of the access floor (height between the concrete slab and the bottom of the access panels?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2 feet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Electrical</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make, year of manufacture, type of fuel system, and emissions tier level of the generator?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2000kw, 3516C Diesel engine, CAT SR4B </w:t>
            </w:r>
          </w:p>
          <w:p w:rsidR="00961AA2" w:rsidRPr="001A443A" w:rsidRDefault="00961AA2" w:rsidP="00023171">
            <w:pPr>
              <w:rPr>
                <w:color w:val="000000" w:themeColor="text1"/>
                <w:sz w:val="18"/>
                <w:szCs w:val="18"/>
              </w:rPr>
            </w:pPr>
            <w:r w:rsidRPr="001A443A">
              <w:rPr>
                <w:color w:val="000000" w:themeColor="text1"/>
                <w:sz w:val="18"/>
                <w:szCs w:val="18"/>
              </w:rPr>
              <w:t>2009, Tier 2</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electrical demand for each UPS by month for the last 12 months?</w:t>
            </w:r>
          </w:p>
        </w:tc>
        <w:tc>
          <w:tcPr>
            <w:tcW w:w="5670" w:type="dxa"/>
          </w:tcPr>
          <w:tbl>
            <w:tblPr>
              <w:tblW w:w="3260" w:type="dxa"/>
              <w:tblLayout w:type="fixed"/>
              <w:tblLook w:val="04A0"/>
            </w:tblPr>
            <w:tblGrid>
              <w:gridCol w:w="960"/>
              <w:gridCol w:w="1120"/>
              <w:gridCol w:w="1180"/>
            </w:tblGrid>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b/>
                      <w:color w:val="000000" w:themeColor="text1"/>
                      <w:sz w:val="18"/>
                      <w:szCs w:val="18"/>
                      <w:u w:val="single"/>
                    </w:rPr>
                  </w:pPr>
                  <w:r w:rsidRPr="001A443A">
                    <w:rPr>
                      <w:rFonts w:eastAsia="Times New Roman"/>
                      <w:b/>
                      <w:color w:val="000000" w:themeColor="text1"/>
                      <w:sz w:val="18"/>
                      <w:szCs w:val="18"/>
                      <w:u w:val="single"/>
                    </w:rPr>
                    <w:t>2012</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b/>
                      <w:color w:val="000000" w:themeColor="text1"/>
                      <w:sz w:val="18"/>
                      <w:szCs w:val="18"/>
                      <w:u w:val="single"/>
                    </w:rPr>
                  </w:pPr>
                  <w:r w:rsidRPr="001A443A">
                    <w:rPr>
                      <w:rFonts w:eastAsia="Times New Roman"/>
                      <w:b/>
                      <w:color w:val="000000" w:themeColor="text1"/>
                      <w:sz w:val="18"/>
                      <w:szCs w:val="18"/>
                      <w:u w:val="single"/>
                    </w:rPr>
                    <w:t>UPS A KVA</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b/>
                      <w:color w:val="000000" w:themeColor="text1"/>
                      <w:sz w:val="18"/>
                      <w:szCs w:val="18"/>
                      <w:u w:val="single"/>
                    </w:rPr>
                  </w:pPr>
                  <w:r w:rsidRPr="001A443A">
                    <w:rPr>
                      <w:rFonts w:eastAsia="Times New Roman"/>
                      <w:b/>
                      <w:color w:val="000000" w:themeColor="text1"/>
                      <w:sz w:val="18"/>
                      <w:szCs w:val="18"/>
                      <w:u w:val="single"/>
                    </w:rPr>
                    <w:t>UPS B KVA</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Jan</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286</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199</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Feb</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285</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200</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March</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286</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206</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April</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292</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206</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May</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297</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217</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June</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299</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220</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July</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299</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222</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Aug</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305</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228</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Sept</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313</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233</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Oct</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319</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239</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Nov</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331</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253</w:t>
                  </w:r>
                </w:p>
              </w:tc>
            </w:tr>
            <w:tr w:rsidR="00961AA2" w:rsidRPr="001A443A" w:rsidTr="00023171">
              <w:trPr>
                <w:trHeight w:val="300"/>
              </w:trPr>
              <w:tc>
                <w:tcPr>
                  <w:tcW w:w="96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Dec</w:t>
                  </w:r>
                </w:p>
              </w:tc>
              <w:tc>
                <w:tcPr>
                  <w:tcW w:w="112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335</w:t>
                  </w:r>
                </w:p>
              </w:tc>
              <w:tc>
                <w:tcPr>
                  <w:tcW w:w="1180" w:type="dxa"/>
                  <w:tcBorders>
                    <w:top w:val="nil"/>
                    <w:left w:val="nil"/>
                    <w:bottom w:val="nil"/>
                    <w:right w:val="nil"/>
                  </w:tcBorders>
                  <w:shd w:val="clear" w:color="auto" w:fill="auto"/>
                  <w:noWrap/>
                  <w:vAlign w:val="bottom"/>
                  <w:hideMark/>
                </w:tcPr>
                <w:p w:rsidR="00961AA2" w:rsidRPr="001A443A" w:rsidRDefault="00961AA2" w:rsidP="00023171">
                  <w:pPr>
                    <w:rPr>
                      <w:rFonts w:eastAsia="Times New Roman"/>
                      <w:color w:val="000000" w:themeColor="text1"/>
                      <w:sz w:val="18"/>
                      <w:szCs w:val="18"/>
                    </w:rPr>
                  </w:pPr>
                  <w:r w:rsidRPr="001A443A">
                    <w:rPr>
                      <w:rFonts w:eastAsia="Times New Roman"/>
                      <w:color w:val="000000" w:themeColor="text1"/>
                      <w:sz w:val="18"/>
                      <w:szCs w:val="18"/>
                    </w:rPr>
                    <w:t>256</w:t>
                  </w:r>
                </w:p>
              </w:tc>
            </w:tr>
          </w:tbl>
          <w:p w:rsidR="00961AA2" w:rsidRPr="001A443A" w:rsidRDefault="00961AA2" w:rsidP="00023171">
            <w:pPr>
              <w:pStyle w:val="NoSpacing"/>
              <w:spacing w:before="60" w:after="60"/>
              <w:rPr>
                <w:rFonts w:ascii="Times New Roman" w:hAnsi="Times New Roman"/>
                <w:color w:val="000000" w:themeColor="text1"/>
                <w:sz w:val="18"/>
                <w:szCs w:val="18"/>
              </w:rPr>
            </w:pP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 handout</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HVAC … 325 tons listed in tour handout; 275 listed in RFP materials.  Which is correct?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rPr>
                <w:color w:val="000000" w:themeColor="text1"/>
                <w:sz w:val="18"/>
                <w:szCs w:val="18"/>
              </w:rPr>
            </w:pPr>
            <w:r w:rsidRPr="001A443A">
              <w:rPr>
                <w:color w:val="000000" w:themeColor="text1"/>
                <w:sz w:val="18"/>
                <w:szCs w:val="18"/>
              </w:rPr>
              <w:t>325 tons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capacity of the CRAC equipment located in the UPS room (tons or Watts)?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60 tons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weight limit of the access panels for the access flooring?</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800 lbs. per tile</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type of battery monitoring system is installed?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Batteries are PM monthly, monitored only with UPS alerts through BMS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Can access to the building / parking lot be restricted?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 xml:space="preserve">Building access is controlled with a card access security system.  In addition there is fingerprint (biometric) access to selected areas of the EDC.  </w:t>
            </w:r>
          </w:p>
          <w:p w:rsidR="00961AA2" w:rsidRPr="001A443A" w:rsidRDefault="00961AA2" w:rsidP="00023171">
            <w:pPr>
              <w:rPr>
                <w:color w:val="000000" w:themeColor="text1"/>
                <w:sz w:val="18"/>
                <w:szCs w:val="18"/>
              </w:rPr>
            </w:pPr>
          </w:p>
          <w:p w:rsidR="00961AA2" w:rsidRPr="001A443A" w:rsidRDefault="00961AA2" w:rsidP="00023171">
            <w:pPr>
              <w:rPr>
                <w:color w:val="000000" w:themeColor="text1"/>
                <w:sz w:val="18"/>
                <w:szCs w:val="18"/>
              </w:rPr>
            </w:pPr>
            <w:r w:rsidRPr="001A443A">
              <w:rPr>
                <w:color w:val="000000" w:themeColor="text1"/>
                <w:sz w:val="18"/>
                <w:szCs w:val="18"/>
              </w:rPr>
              <w:t>Parking lot is a shared Commonwealth lot for four Commonwealth buildings.  The Offeror must provide more details before the Commonwealth can comment on specific restrictions to the building and parking lot.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changes / modifications have been made to the Fire Control / Decoction System</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Cheetah xi Addressable Fire Suppression Control System installed 2006</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Could the Commonwealth provide the actual tons installed for each area of the data center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Computer Room 1, 225 tons</w:t>
            </w:r>
          </w:p>
          <w:p w:rsidR="00961AA2" w:rsidRPr="001A443A" w:rsidRDefault="00961AA2" w:rsidP="00023171">
            <w:pPr>
              <w:rPr>
                <w:color w:val="000000" w:themeColor="text1"/>
                <w:sz w:val="18"/>
                <w:szCs w:val="18"/>
              </w:rPr>
            </w:pPr>
            <w:r w:rsidRPr="001A443A">
              <w:rPr>
                <w:color w:val="000000" w:themeColor="text1"/>
                <w:sz w:val="18"/>
                <w:szCs w:val="18"/>
              </w:rPr>
              <w:t>Computer Room 2, 100 tons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method for fuel spill containment at the facility?</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Double-walled underbelly fuel tanks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capacity of the fuel storage system?</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Each of the two generators is equipped with a 6000 gal. underbelly tank</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Could the Commonwealth describe the electrical distribution of the power from the UPS to the PDUs / RPPs?</w:t>
            </w:r>
          </w:p>
        </w:tc>
        <w:tc>
          <w:tcPr>
            <w:tcW w:w="5670" w:type="dxa"/>
          </w:tcPr>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Even numbered PDUs align to UPSB</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Odd numbered PDUs align to UPSA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RDC 1 powered by PDUs 4 &amp; 10</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RDC 2 powered by PDUs 11 &amp; 12</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RDC 3 powered by PDUs 13 &amp; 14</w:t>
            </w:r>
          </w:p>
          <w:p w:rsidR="00961AA2" w:rsidRPr="001A443A" w:rsidRDefault="00961AA2" w:rsidP="00023171">
            <w:pPr>
              <w:rPr>
                <w:color w:val="000000" w:themeColor="text1"/>
                <w:sz w:val="18"/>
                <w:szCs w:val="18"/>
              </w:rPr>
            </w:pPr>
            <w:r w:rsidRPr="001A443A">
              <w:rPr>
                <w:color w:val="000000" w:themeColor="text1"/>
                <w:sz w:val="18"/>
                <w:szCs w:val="18"/>
              </w:rPr>
              <w:t>Each PDU has a Static Switch.</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For the ASCO transfer switch in the warehouse space; what equipment feeds it and what equipment does it support?</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Fed from two main bus panels; supports the entire building excluding the computer room</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types of smoke detection devices are installed?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Fike thermal, photoelectric, ionization</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Mechanical</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type of heat exchange system used?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Freon direct expansion; all Liebert equipment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source of fresh water for the site?</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Harrisburg Water Authority</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an air contamination monitoring system installed?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Yes, in the Battery Room</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Fire System</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Where in the facility are the Halon storage tanks?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In the mechanical room in the warehouse.</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age of the building roof?</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Installed June 2010.</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type of leak detection is provided?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Local to each CRAC</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Describe how the electrical system is distributed to the mechanical systems (CRAC units / condenser units)?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Main distribution panel feeds subpanels feeds condenser units; Main distribution panel feeds CRAC</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electrical/mechanical maintenance and project work done by union labor?</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Maintenance, no</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Project, 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remote monitoring or access (control) is in operation for the electrical system?</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Monitored through the BMS, Johnson Control System</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Are the CRAC units controlled by the BMS system or is monitoring only provided?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 xml:space="preserve">Monitoring only but cycles on through BMS if power interruption detected  </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there a regular maintenance schedule for cleaning under the access floor?  If yes, what is the schedule?</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No</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For the UPS power: is there a diagram of the power distribution at the device (IT equipment) level?  Can this diagram be provided for review?</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No</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 leak detection system connected to the BMS system?</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No</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Are there any overhead water, drain or condensate pipes or sprinkler heads located in the data centers or UPS room?</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 wet / pre-action Sprinkler system installed?  If yes, which one and in what areas?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No</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Have there been any site failures (power, cooling, infrastructure) since new electrical building was completed and brought on-line?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720" w:type="dxa"/>
            <w:gridSpan w:val="3"/>
            <w:shd w:val="clear" w:color="auto" w:fill="auto"/>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shd w:val="clear" w:color="auto" w:fill="auto"/>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 xml:space="preserve">Does an electrical single line drawing exist for the facility showing the utility and electrical distribution of the site?  </w:t>
            </w:r>
          </w:p>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p>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If yes, can the Commonwealth provide a copy?</w:t>
            </w:r>
          </w:p>
        </w:tc>
        <w:tc>
          <w:tcPr>
            <w:tcW w:w="5670" w:type="dxa"/>
            <w:shd w:val="clear" w:color="auto" w:fill="auto"/>
          </w:tcPr>
          <w:p w:rsidR="00961AA2" w:rsidRPr="001A443A" w:rsidRDefault="00961AA2" w:rsidP="00023171">
            <w:pPr>
              <w:rPr>
                <w:color w:val="000000" w:themeColor="text1"/>
                <w:sz w:val="18"/>
                <w:szCs w:val="18"/>
              </w:rPr>
            </w:pPr>
            <w:r w:rsidRPr="001A443A">
              <w:rPr>
                <w:color w:val="000000" w:themeColor="text1"/>
                <w:sz w:val="18"/>
                <w:szCs w:val="18"/>
              </w:rPr>
              <w:t>No single line drawing exists.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Has the water been tested for hardness, minerals, turbidity, etc?  Can the report be provided for review?</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testing has been conducted.  No report exists.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method of fresh air make-up for the data centers?  What is the percentage of air exchange for fresh air?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None</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You indicated that the new electrical building was added in 2009.  During that process was the site ever evaluated against the UTI Tiering criteria?  If so, did an independent EE/ME firm do the evaluation?  If so, what is the name of the firm and their address?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None of the EDC facilities were evaluated against UTI criteria.</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How is the water treated before use on the site?</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Not known.</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shd w:val="clear" w:color="auto" w:fill="auto"/>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fire rating of the data center space (1 hr, 2 hr, 3 hr or none)?</w:t>
            </w:r>
          </w:p>
        </w:tc>
        <w:tc>
          <w:tcPr>
            <w:tcW w:w="5670"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Not known.</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there a drawing of the building mechanical systems, including the fresh air make-up equipment?  Can the drawing be provided for review?</w:t>
            </w:r>
          </w:p>
        </w:tc>
        <w:tc>
          <w:tcPr>
            <w:tcW w:w="5670" w:type="dxa"/>
            <w:shd w:val="clear" w:color="auto" w:fill="auto"/>
          </w:tcPr>
          <w:p w:rsidR="00961AA2" w:rsidRPr="001A443A" w:rsidRDefault="00961AA2" w:rsidP="00023171">
            <w:pPr>
              <w:rPr>
                <w:color w:val="000000" w:themeColor="text1"/>
                <w:sz w:val="18"/>
                <w:szCs w:val="18"/>
              </w:rPr>
            </w:pPr>
            <w:r w:rsidRPr="001A443A">
              <w:rPr>
                <w:color w:val="000000" w:themeColor="text1"/>
                <w:sz w:val="18"/>
                <w:szCs w:val="18"/>
              </w:rPr>
              <w:t>The Commonwealth has as-built prints only.</w:t>
            </w:r>
          </w:p>
          <w:p w:rsidR="00961AA2" w:rsidRPr="001A443A" w:rsidRDefault="00961AA2" w:rsidP="00023171">
            <w:pPr>
              <w:rPr>
                <w:color w:val="000000" w:themeColor="text1"/>
                <w:sz w:val="18"/>
                <w:szCs w:val="18"/>
              </w:rPr>
            </w:pPr>
          </w:p>
          <w:p w:rsidR="00961AA2" w:rsidRPr="001A443A" w:rsidRDefault="00961AA2" w:rsidP="00023171">
            <w:pPr>
              <w:rPr>
                <w:color w:val="000000" w:themeColor="text1"/>
                <w:sz w:val="18"/>
                <w:szCs w:val="18"/>
              </w:rPr>
            </w:pPr>
            <w:r w:rsidRPr="001A443A">
              <w:rPr>
                <w:color w:val="000000" w:themeColor="text1"/>
                <w:sz w:val="18"/>
                <w:szCs w:val="18"/>
              </w:rPr>
              <w:t>This document is confidential.  To receive a copy, please contact Sheryl Kimport, Issuing Officer.</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year was the Halon system installed?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Original to EDC, approximately 21 years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How is condensate water removed from the data center?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Pumped into drain system to sanitary sewer</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operating demand loads in the generators during operational (loaded) testing?</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Quarterly Load bank tested approximately 1000 kw.</w:t>
            </w:r>
          </w:p>
        </w:tc>
      </w:tr>
      <w:tr w:rsidR="00961AA2" w:rsidRPr="005250E8" w:rsidTr="00B3699F">
        <w:trPr>
          <w:cantSplit/>
          <w:trHeight w:val="4715"/>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demand load for each of the metered PDU's?</w:t>
            </w:r>
          </w:p>
        </w:tc>
        <w:tc>
          <w:tcPr>
            <w:tcW w:w="5670" w:type="dxa"/>
          </w:tcPr>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Racks not equipped with metered PDUs.  Approximate output kva for computer room PDUs: </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PDU1 47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PDU2  39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PDU3  44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PDU4  52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PDU5  29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PDU6  46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PDU7  46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PDU8  36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PDU9  42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PDU10 17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PDU11 98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PDU12 51 kva</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PDU13  39 kva</w:t>
            </w:r>
          </w:p>
          <w:p w:rsidR="00961AA2" w:rsidRPr="001A443A" w:rsidRDefault="00961AA2" w:rsidP="00023171">
            <w:pPr>
              <w:rPr>
                <w:color w:val="000000" w:themeColor="text1"/>
                <w:sz w:val="18"/>
                <w:szCs w:val="18"/>
              </w:rPr>
            </w:pPr>
            <w:r w:rsidRPr="001A443A">
              <w:rPr>
                <w:color w:val="000000" w:themeColor="text1"/>
                <w:sz w:val="18"/>
                <w:szCs w:val="18"/>
              </w:rPr>
              <w:t>PDU14 43 kva</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Does the access floor height change in any off data center spaces?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Raised floor exists only in data center.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long are CCTV security tapes kept on-site and off-site?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rPr>
                <w:color w:val="000000" w:themeColor="text1"/>
                <w:sz w:val="18"/>
                <w:szCs w:val="18"/>
              </w:rPr>
            </w:pPr>
            <w:r w:rsidRPr="001A443A">
              <w:rPr>
                <w:color w:val="000000" w:themeColor="text1"/>
                <w:sz w:val="18"/>
                <w:szCs w:val="18"/>
              </w:rPr>
              <w:t>Recorder kept on site approximately 4 months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monthly electrical demand loads for the facility by utility feed and by month?</w:t>
            </w:r>
          </w:p>
        </w:tc>
        <w:tc>
          <w:tcPr>
            <w:tcW w:w="5670" w:type="dxa"/>
          </w:tcPr>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Secondary Utility Feed shows no usage last year.</w:t>
            </w:r>
          </w:p>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Primary Utility Feed</w:t>
            </w:r>
          </w:p>
          <w:tbl>
            <w:tblPr>
              <w:tblW w:w="4032" w:type="dxa"/>
              <w:tblLayout w:type="fixed"/>
              <w:tblCellMar>
                <w:left w:w="0" w:type="dxa"/>
                <w:right w:w="0" w:type="dxa"/>
              </w:tblCellMar>
              <w:tblLook w:val="04A0"/>
            </w:tblPr>
            <w:tblGrid>
              <w:gridCol w:w="1380"/>
              <w:gridCol w:w="1260"/>
              <w:gridCol w:w="1392"/>
            </w:tblGrid>
            <w:tr w:rsidR="00961AA2" w:rsidRPr="001A443A" w:rsidTr="00023171">
              <w:trPr>
                <w:trHeight w:val="945"/>
              </w:trPr>
              <w:tc>
                <w:tcPr>
                  <w:tcW w:w="1380" w:type="dxa"/>
                  <w:tcMar>
                    <w:top w:w="0" w:type="dxa"/>
                    <w:left w:w="108" w:type="dxa"/>
                    <w:bottom w:w="0" w:type="dxa"/>
                    <w:right w:w="108" w:type="dxa"/>
                  </w:tcMar>
                  <w:vAlign w:val="center"/>
                  <w:hideMark/>
                </w:tcPr>
                <w:p w:rsidR="00961AA2" w:rsidRPr="001A443A" w:rsidRDefault="00961AA2" w:rsidP="00023171">
                  <w:pPr>
                    <w:spacing w:line="276" w:lineRule="auto"/>
                    <w:jc w:val="center"/>
                    <w:rPr>
                      <w:rFonts w:eastAsiaTheme="minorHAnsi"/>
                      <w:b/>
                      <w:bCs/>
                      <w:color w:val="000000" w:themeColor="text1"/>
                      <w:sz w:val="18"/>
                      <w:szCs w:val="18"/>
                      <w:u w:val="single"/>
                    </w:rPr>
                  </w:pPr>
                  <w:r w:rsidRPr="001A443A">
                    <w:rPr>
                      <w:b/>
                      <w:bCs/>
                      <w:color w:val="000000" w:themeColor="text1"/>
                      <w:sz w:val="18"/>
                      <w:szCs w:val="18"/>
                      <w:u w:val="single"/>
                    </w:rPr>
                    <w:t>Billing Month</w:t>
                  </w:r>
                </w:p>
              </w:tc>
              <w:tc>
                <w:tcPr>
                  <w:tcW w:w="1260" w:type="dxa"/>
                  <w:tcMar>
                    <w:top w:w="0" w:type="dxa"/>
                    <w:left w:w="108" w:type="dxa"/>
                    <w:bottom w:w="0" w:type="dxa"/>
                    <w:right w:w="108" w:type="dxa"/>
                  </w:tcMar>
                  <w:vAlign w:val="center"/>
                  <w:hideMark/>
                </w:tcPr>
                <w:p w:rsidR="00961AA2" w:rsidRPr="001A443A" w:rsidRDefault="00961AA2" w:rsidP="00023171">
                  <w:pPr>
                    <w:spacing w:line="276" w:lineRule="auto"/>
                    <w:jc w:val="center"/>
                    <w:rPr>
                      <w:rFonts w:eastAsiaTheme="minorHAnsi"/>
                      <w:b/>
                      <w:bCs/>
                      <w:color w:val="000000" w:themeColor="text1"/>
                      <w:sz w:val="18"/>
                      <w:szCs w:val="18"/>
                      <w:u w:val="single"/>
                    </w:rPr>
                  </w:pPr>
                  <w:r w:rsidRPr="001A443A">
                    <w:rPr>
                      <w:b/>
                      <w:bCs/>
                      <w:color w:val="000000" w:themeColor="text1"/>
                      <w:sz w:val="18"/>
                      <w:szCs w:val="18"/>
                      <w:u w:val="single"/>
                    </w:rPr>
                    <w:t>Usage (kwh)</w:t>
                  </w:r>
                </w:p>
              </w:tc>
              <w:tc>
                <w:tcPr>
                  <w:tcW w:w="1392" w:type="dxa"/>
                  <w:tcMar>
                    <w:top w:w="0" w:type="dxa"/>
                    <w:left w:w="108" w:type="dxa"/>
                    <w:bottom w:w="0" w:type="dxa"/>
                    <w:right w:w="108" w:type="dxa"/>
                  </w:tcMar>
                  <w:vAlign w:val="center"/>
                  <w:hideMark/>
                </w:tcPr>
                <w:p w:rsidR="00961AA2" w:rsidRPr="001A443A" w:rsidRDefault="00961AA2" w:rsidP="00023171">
                  <w:pPr>
                    <w:spacing w:line="276" w:lineRule="auto"/>
                    <w:jc w:val="center"/>
                    <w:rPr>
                      <w:rFonts w:eastAsiaTheme="minorHAnsi"/>
                      <w:b/>
                      <w:bCs/>
                      <w:color w:val="000000" w:themeColor="text1"/>
                      <w:sz w:val="18"/>
                      <w:szCs w:val="18"/>
                      <w:u w:val="single"/>
                    </w:rPr>
                  </w:pPr>
                  <w:r w:rsidRPr="001A443A">
                    <w:rPr>
                      <w:b/>
                      <w:bCs/>
                      <w:color w:val="000000" w:themeColor="text1"/>
                      <w:sz w:val="18"/>
                      <w:szCs w:val="18"/>
                      <w:u w:val="single"/>
                    </w:rPr>
                    <w:t>Max Demand (kw)</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Nov-12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747,750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1,182</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Oct-12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867,000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1,137</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Sep-12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818,250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1,250</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Aug-12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745,500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1,190</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Jul-12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771,750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1,197</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Jun-12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810,000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1,187</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May-12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707,250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1,146</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Apr-12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717,000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1,135</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Mar-12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689,250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1,100</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Feb-12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750,000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1,079</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Jan-12</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689,250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1,083</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Dec-11</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708,000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1,091</w:t>
                  </w:r>
                </w:p>
              </w:tc>
            </w:tr>
            <w:tr w:rsidR="00961AA2" w:rsidRPr="001A443A" w:rsidTr="00023171">
              <w:trPr>
                <w:trHeight w:val="300"/>
              </w:trPr>
              <w:tc>
                <w:tcPr>
                  <w:tcW w:w="138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Nov-11</w:t>
                  </w:r>
                </w:p>
              </w:tc>
              <w:tc>
                <w:tcPr>
                  <w:tcW w:w="1260"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759,000</w:t>
                  </w:r>
                </w:p>
              </w:tc>
              <w:tc>
                <w:tcPr>
                  <w:tcW w:w="1392" w:type="dxa"/>
                  <w:tcMar>
                    <w:top w:w="0" w:type="dxa"/>
                    <w:left w:w="108" w:type="dxa"/>
                    <w:bottom w:w="0" w:type="dxa"/>
                    <w:right w:w="108" w:type="dxa"/>
                  </w:tcMar>
                  <w:vAlign w:val="bottom"/>
                  <w:hideMark/>
                </w:tcPr>
                <w:p w:rsidR="00961AA2" w:rsidRPr="001A443A" w:rsidRDefault="00961AA2" w:rsidP="00023171">
                  <w:pPr>
                    <w:spacing w:line="276" w:lineRule="auto"/>
                    <w:jc w:val="center"/>
                    <w:rPr>
                      <w:rFonts w:eastAsiaTheme="minorHAnsi"/>
                      <w:color w:val="000000" w:themeColor="text1"/>
                      <w:sz w:val="18"/>
                      <w:szCs w:val="18"/>
                    </w:rPr>
                  </w:pPr>
                  <w:r w:rsidRPr="001A443A">
                    <w:rPr>
                      <w:color w:val="000000" w:themeColor="text1"/>
                      <w:sz w:val="18"/>
                      <w:szCs w:val="18"/>
                    </w:rPr>
                    <w:t>1,060</w:t>
                  </w:r>
                </w:p>
              </w:tc>
            </w:tr>
          </w:tbl>
          <w:p w:rsidR="00961AA2" w:rsidRPr="001A443A" w:rsidRDefault="00961AA2" w:rsidP="00023171">
            <w:pPr>
              <w:pStyle w:val="NoSpacing"/>
              <w:spacing w:before="60" w:after="60"/>
              <w:rPr>
                <w:rFonts w:ascii="Times New Roman" w:hAnsi="Times New Roman"/>
                <w:color w:val="000000" w:themeColor="text1"/>
                <w:sz w:val="18"/>
                <w:szCs w:val="18"/>
              </w:rPr>
            </w:pP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 fuel storage system shared or separate?</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Separate</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method for humidity control in the data center?</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Set individually by CRAC units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For the two Emerson static switch PDUs located in the warehouse, where are these devices fed from and what devices / equipment do they feed?</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St Sw 13 &amp; StSw 14 feed PDUs 13 &amp; 14 respectively.  Both static switches are fed redundantly from Switchboard #1A (UPS B) and Switchboard #2 (UPS A)</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Can the Commonwealth provide a copy of the most recent data center audit or assessment? (e.g., SAS 70, SSAE 16)</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EDC is the only in scope Datacenter for this procurement and no SSAE 16 Audit has been completed.  Therefore there is no audit to provide. </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a drawing available documenting the electrical distribution to the mechanical systems available?  Can it be provided for review?</w:t>
            </w:r>
          </w:p>
        </w:tc>
        <w:tc>
          <w:tcPr>
            <w:tcW w:w="5670"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only prints available are the prints used to construct the facility in 1992.  There has been no update made.</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These documents are confidential.  To receive a copy, please contact Sheryl Kimport, Issuing Officer.</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 drawing showing the redundant utility feed installations?  Can this drawing be provided for review?</w:t>
            </w:r>
          </w:p>
        </w:tc>
        <w:tc>
          <w:tcPr>
            <w:tcW w:w="5670"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only prints available are the prints used to construct the facility in 1992.  There has been no update made.</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rPr>
                <w:color w:val="000000" w:themeColor="text1"/>
                <w:sz w:val="18"/>
                <w:szCs w:val="18"/>
              </w:rPr>
            </w:pPr>
            <w:r w:rsidRPr="001A443A">
              <w:rPr>
                <w:color w:val="000000" w:themeColor="text1"/>
                <w:sz w:val="18"/>
                <w:szCs w:val="18"/>
              </w:rPr>
              <w:t>These documents are confidential.  To receive a copy, please contact Sheryl Kimport, Issuing Officer.</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In the perimeter "proposed" expansion areas, what is the construction of the flooring (i.e. slab on grade? some access floor, etc.?</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are no perimeter “proposed” expansion areas identified in Exhibit D.7</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structural weight loading for the concrete slabs in these areas?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are no perimeter “proposed” expansion areas identified in Exhibit D.7</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tour</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Are the CCTV video feeds monitored 7x24x365 by eyes on?  Does that occur within the building?</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rPr>
                <w:color w:val="000000" w:themeColor="text1"/>
                <w:sz w:val="18"/>
                <w:szCs w:val="18"/>
              </w:rPr>
            </w:pPr>
            <w:r w:rsidRPr="001A443A">
              <w:rPr>
                <w:color w:val="000000" w:themeColor="text1"/>
                <w:sz w:val="18"/>
                <w:szCs w:val="18"/>
              </w:rPr>
              <w:t xml:space="preserve">This information is considered confidential.  The selected Offeror is to provide security to the EDC as part of the contract. </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What is the warranty on the C&amp; D batteries (years remaining)?</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Unsure of warranty. Approximately 17 years remaining on 20 year service life batteries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 vapor barrier integrated into the data center walls? Ceiling? Concrete flooring?</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Walls-no; Ceiling-no; Floor-6 mil</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 building floor slab sealed?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 fire control / monitoring system connected to a central station and BMS?</w:t>
            </w:r>
          </w:p>
        </w:tc>
        <w:tc>
          <w:tcPr>
            <w:tcW w:w="5670"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to a central station and Capital Police</w:t>
            </w:r>
          </w:p>
        </w:tc>
      </w:tr>
      <w:tr w:rsidR="00961AA2" w:rsidRPr="005250E8" w:rsidTr="00B3699F">
        <w:trPr>
          <w:cantSplit/>
        </w:trPr>
        <w:tc>
          <w:tcPr>
            <w:tcW w:w="720" w:type="dxa"/>
            <w:gridSpan w:val="3"/>
            <w:shd w:val="clear" w:color="auto" w:fill="auto"/>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shd w:val="clear" w:color="auto" w:fill="auto"/>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attic stock available of ceiling tiles for use in the data center?  If yes, how many panels?</w:t>
            </w:r>
          </w:p>
        </w:tc>
        <w:tc>
          <w:tcPr>
            <w:tcW w:w="5670" w:type="dxa"/>
            <w:shd w:val="clear" w:color="auto" w:fill="auto"/>
          </w:tcPr>
          <w:p w:rsidR="00961AA2" w:rsidRPr="001A443A" w:rsidRDefault="00961AA2" w:rsidP="00023171">
            <w:pPr>
              <w:rPr>
                <w:color w:val="000000" w:themeColor="text1"/>
                <w:sz w:val="18"/>
                <w:szCs w:val="18"/>
              </w:rPr>
            </w:pPr>
            <w:r w:rsidRPr="001A443A">
              <w:rPr>
                <w:color w:val="000000" w:themeColor="text1"/>
                <w:sz w:val="18"/>
                <w:szCs w:val="18"/>
              </w:rPr>
              <w:t>Yes, unknown count.</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an attic stock of access floor panels (uncut) available for use / replacement in the data center?  If yes, how many panels?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Yes, approximately 80 tiles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EDC tour</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D.7 EDC Facility Summary and Requirements</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Facilities - Architecture</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there a warranty/ service agreement in place for the mechanical systems?  Has it been in continuous service since the initial equipment installation?</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 xml:space="preserve">Yes. </w:t>
            </w:r>
          </w:p>
          <w:p w:rsidR="00961AA2" w:rsidRPr="001A443A" w:rsidRDefault="00961AA2" w:rsidP="00023171">
            <w:pPr>
              <w:rPr>
                <w:color w:val="000000" w:themeColor="text1"/>
                <w:sz w:val="18"/>
                <w:szCs w:val="18"/>
              </w:rPr>
            </w:pPr>
          </w:p>
          <w:p w:rsidR="00961AA2" w:rsidRPr="001A443A" w:rsidRDefault="00961AA2" w:rsidP="00023171">
            <w:pPr>
              <w:rPr>
                <w:color w:val="000000" w:themeColor="text1"/>
                <w:sz w:val="18"/>
                <w:szCs w:val="18"/>
              </w:rPr>
            </w:pPr>
            <w:r w:rsidRPr="001A443A">
              <w:rPr>
                <w:color w:val="000000" w:themeColor="text1"/>
                <w:sz w:val="18"/>
                <w:szCs w:val="18"/>
              </w:rPr>
              <w:t>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B.1</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bCs/>
                <w:color w:val="000000" w:themeColor="text1"/>
                <w:sz w:val="18"/>
                <w:szCs w:val="18"/>
              </w:rPr>
            </w:pPr>
            <w:r w:rsidRPr="001A443A">
              <w:rPr>
                <w:rFonts w:ascii="Times New Roman" w:hAnsi="Times New Roman"/>
                <w:color w:val="000000" w:themeColor="text1"/>
                <w:sz w:val="18"/>
                <w:szCs w:val="18"/>
              </w:rPr>
              <w:t>Is zVM - zVSE included in the scope as depicted in Exhibit B1 Mainframes - IBM?</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B.1</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bCs/>
                <w:color w:val="000000" w:themeColor="text1"/>
                <w:sz w:val="18"/>
                <w:szCs w:val="18"/>
              </w:rPr>
            </w:pPr>
            <w:r w:rsidRPr="001A443A">
              <w:rPr>
                <w:rFonts w:ascii="Times New Roman" w:hAnsi="Times New Roman"/>
                <w:color w:val="000000" w:themeColor="text1"/>
                <w:sz w:val="18"/>
                <w:szCs w:val="18"/>
              </w:rPr>
              <w:t>Do the MIPS for zLinux environment in the pricing matrix map to Exhibit B1 Mainframes - IBM?</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Line #’s 21 - 96</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B.2</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DPH - Commonwealth Owned DPH IT A V1</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B.5 DPT - DPH Agency Disaster Recovery V1</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D.1 EDC - Server Inventory V1</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D.5 EDC - DOT Datacenter Inventory V1</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G.1 PSP - Datacenter HW Inventory V1</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For the Mid-Range and x86 servers, can the Commonwealth please provide the processor type and speed for the exhibits?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available Commonwealth info is contained in exhibits.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B.5</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DPH Agency Disaster Recovery</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“DPH BCP Agencies” Tab</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Page1,Line # 3-12</w:t>
            </w: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For the dedicated DR equipment located at SunGard in Philadelphia, please identify who will own these machines at the end of the current contract?</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know who currently has title to the equipment at SunGard.  The Commonwealth does not have title to any equipment at SunGard.</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D.1</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MS and MSL</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Virtual=TRUE</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are some virtual machines with high memory (16GB+).  Does the Commonwealth have an expectation of the maximum amount of CPU and Memory permitted for an On Demand Server Service (Cloud)?  For example, max=16GB, or Max=64GB?  8vCPU?  Please provide expected min/max configuration for cloud virtualization.</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has no expectations related to the maximum amount of CPU and Memory permitted for an On Demand Server Service (Cloud).</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is the diesel fuel storage capacity of the generators … belly tanks local to each gen?  Is there shared fuel storage between the tanks?  Is the fuel polished?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6000 gallons. No shared storage. Yes</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is the age of the UPS, electrical switch gear, gens, and battery bank?</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rPr>
                <w:color w:val="000000" w:themeColor="text1"/>
                <w:sz w:val="18"/>
                <w:szCs w:val="18"/>
              </w:rPr>
            </w:pPr>
            <w:r w:rsidRPr="001A443A">
              <w:rPr>
                <w:color w:val="000000" w:themeColor="text1"/>
                <w:sz w:val="18"/>
                <w:szCs w:val="18"/>
              </w:rPr>
              <w:t>All were installed in 2010.</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redundant HVAC cooling … 275 tons.  Does this imply that you are 2N or N+1 in cooling capacity?  IS each CRAC isolatable so that it can be taken offline?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N+1 for maintenance</w:t>
            </w:r>
          </w:p>
          <w:p w:rsidR="00961AA2" w:rsidRPr="001A443A" w:rsidRDefault="00961AA2" w:rsidP="00023171">
            <w:pPr>
              <w:rPr>
                <w:color w:val="000000" w:themeColor="text1"/>
                <w:sz w:val="18"/>
                <w:szCs w:val="18"/>
              </w:rPr>
            </w:pPr>
            <w:r w:rsidRPr="001A443A">
              <w:rPr>
                <w:color w:val="000000" w:themeColor="text1"/>
                <w:sz w:val="18"/>
                <w:szCs w:val="18"/>
              </w:rPr>
              <w:t>Each CRAC is isolatable</w:t>
            </w:r>
          </w:p>
        </w:tc>
      </w:tr>
      <w:tr w:rsidR="00961AA2" w:rsidRPr="00230883"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Are the valves in the cooling system concurrently maintainable without the need to diminish service to the critical load? Does the redundancy extend to the piping systems?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line="276" w:lineRule="auto"/>
              <w:rPr>
                <w:rFonts w:ascii="Times New Roman" w:hAnsi="Times New Roman"/>
                <w:color w:val="000000" w:themeColor="text1"/>
                <w:sz w:val="18"/>
                <w:szCs w:val="18"/>
              </w:rPr>
            </w:pPr>
            <w:r w:rsidRPr="001A443A">
              <w:rPr>
                <w:rFonts w:ascii="Times New Roman" w:hAnsi="Times New Roman"/>
                <w:color w:val="000000" w:themeColor="text1"/>
                <w:sz w:val="18"/>
                <w:szCs w:val="18"/>
              </w:rPr>
              <w:t>No, maintenance to valves requires condenser shutdown which reduces cooling capacity.  No.</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there a specific location set aside for contractor installed electrical distribution panel and meters?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Offeror will be required to work with Commonwealth building manager.</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 BMS physically monitored 24x7x365 locally within the building?  If remote … where does this occur?</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This information is considered confidential.  The selected Offeror is to provide security to the EDC as part of the contract. </w:t>
            </w:r>
          </w:p>
          <w:p w:rsidR="00961AA2" w:rsidRPr="001A443A" w:rsidRDefault="00961AA2" w:rsidP="00023171">
            <w:pPr>
              <w:rPr>
                <w:color w:val="000000" w:themeColor="text1"/>
                <w:sz w:val="18"/>
                <w:szCs w:val="18"/>
              </w:rPr>
            </w:pP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many diesel vendors are under contract?  What is the delivery SLA and priority vs. their other clients?  What are the distances from the fuel depot to EDC for each contractor?</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Varies with number listed on state contract.  EDC has agreement with one vendor to deliver within 5 hours after notification of any emergency.</w:t>
            </w:r>
          </w:p>
          <w:p w:rsidR="00961AA2" w:rsidRPr="001A443A" w:rsidRDefault="00961AA2" w:rsidP="00023171">
            <w:pPr>
              <w:rPr>
                <w:color w:val="000000" w:themeColor="text1"/>
                <w:sz w:val="18"/>
                <w:szCs w:val="18"/>
              </w:rPr>
            </w:pPr>
            <w:r w:rsidRPr="001A443A">
              <w:rPr>
                <w:color w:val="000000" w:themeColor="text1"/>
                <w:sz w:val="18"/>
                <w:szCs w:val="18"/>
              </w:rPr>
              <w:t>Current vendor is less than 20 miles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How often are the gens tested? Does this test include running the critical load off the gens?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Weekly.  Test does not include running critical load off gen.   Load bank tested quarterly.</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it standard that all components of the critical load (servers, switches, storage units, etc.) have dual power supplies?</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Yes.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If the above is affirmative, does each power supply run back to independent PDUs (in rack and on RF) and independent UPS/Gens also?  We'd like to confirm that redundant implies a 2N power train all the way thru the electrical system.</w:t>
            </w:r>
          </w:p>
        </w:tc>
        <w:tc>
          <w:tcPr>
            <w:tcW w:w="5670" w:type="dxa"/>
          </w:tcPr>
          <w:p w:rsidR="00961AA2" w:rsidRPr="001A443A" w:rsidRDefault="00961AA2" w:rsidP="00023171">
            <w:pPr>
              <w:rPr>
                <w:color w:val="000000" w:themeColor="text1"/>
                <w:sz w:val="18"/>
                <w:szCs w:val="18"/>
              </w:rPr>
            </w:pPr>
            <w:r w:rsidRPr="001A443A">
              <w:rPr>
                <w:color w:val="000000" w:themeColor="text1"/>
                <w:sz w:val="18"/>
                <w:szCs w:val="18"/>
              </w:rPr>
              <w:t>Yes, redundant implies a 2N power train all the way thru the electrical system.</w:t>
            </w:r>
          </w:p>
        </w:tc>
      </w:tr>
      <w:tr w:rsidR="00961AA2" w:rsidRPr="005250E8" w:rsidTr="00B3699F">
        <w:trPr>
          <w:cantSplit/>
        </w:trPr>
        <w:tc>
          <w:tcPr>
            <w:tcW w:w="72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d.x</w:t>
            </w:r>
          </w:p>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EDC Facility  Summary</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Do the generators service the critical and essential systems?  Do they service any other systems in the building (emergency lighting, building water pumping, etc.)</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rPr>
                <w:color w:val="000000" w:themeColor="text1"/>
                <w:sz w:val="18"/>
                <w:szCs w:val="18"/>
              </w:rPr>
            </w:pPr>
            <w:r w:rsidRPr="001A443A">
              <w:rPr>
                <w:color w:val="000000" w:themeColor="text1"/>
                <w:sz w:val="18"/>
                <w:szCs w:val="18"/>
              </w:rPr>
              <w:t>Yes.  The entire building is serviced by the generators.</w:t>
            </w: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G.5</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architecture shows PSP having its own Private Cloud.  Please comment on this, and moving forward if the PSP requires separate infrastructure from the general COPA infrastructure.  Are other technologies (such as POD separation) acceptable if the PSP can be wall and separated?  Are there any other Agencies that require such special handling regarding technical architecture (Private vs. Public, vs. Hybrid).  Or, was it just a matter of expediency of history that PSP maintained its own Private Cloud?</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PSP requires a design that is compliant with the FBI’s CJIS Security Policy.  The diagrams included with the Summary of CJIS Requirements are shown as examples of how data at rest and in transit needs to be protected. Yes, there are additional agencies that require “special handling” as defined with the RFP.</w:t>
            </w:r>
          </w:p>
          <w:p w:rsidR="00961AA2" w:rsidRPr="001A443A" w:rsidRDefault="00961AA2" w:rsidP="00023171">
            <w:pPr>
              <w:pStyle w:val="NoSpacing"/>
              <w:spacing w:before="60" w:after="60"/>
              <w:rPr>
                <w:rFonts w:ascii="Times New Roman" w:hAnsi="Times New Roman"/>
                <w:color w:val="000000" w:themeColor="text1"/>
                <w:sz w:val="18"/>
                <w:szCs w:val="18"/>
              </w:rPr>
            </w:pPr>
          </w:p>
        </w:tc>
      </w:tr>
      <w:tr w:rsidR="00961AA2" w:rsidRPr="005250E8" w:rsidTr="00B3699F">
        <w:trPr>
          <w:cantSplit/>
        </w:trPr>
        <w:tc>
          <w:tcPr>
            <w:tcW w:w="720" w:type="dxa"/>
            <w:gridSpan w:val="3"/>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1710"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J.1,</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Maturity Level</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Page 8</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Provider is obliged to obtain a Statement on Auditing Standards No. 70 (SAS 70) II certification for the Services provided under this Agreement.”</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SAS 70 certification has been replaced with SSAE 16.  Is the Commonwealth looking for SAS 70 II or SSAE 16?</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SSAE 16.</w:t>
            </w:r>
          </w:p>
        </w:tc>
      </w:tr>
      <w:tr w:rsidR="00961AA2" w:rsidRPr="005250E8" w:rsidTr="00B3699F">
        <w:trPr>
          <w:cantSplit/>
        </w:trPr>
        <w:tc>
          <w:tcPr>
            <w:tcW w:w="36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70"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 xml:space="preserve">Exhibit L - </w:t>
            </w:r>
            <w:r w:rsidRPr="001A443A">
              <w:rPr>
                <w:color w:val="000000" w:themeColor="text1"/>
                <w:sz w:val="18"/>
                <w:szCs w:val="18"/>
              </w:rPr>
              <w:br/>
              <w:t>Schedule F -</w:t>
            </w:r>
          </w:p>
        </w:tc>
        <w:tc>
          <w:tcPr>
            <w:tcW w:w="1170"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3.3.2.2</w:t>
            </w:r>
          </w:p>
        </w:tc>
        <w:tc>
          <w:tcPr>
            <w:tcW w:w="108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152</w:t>
            </w:r>
          </w:p>
        </w:tc>
        <w:tc>
          <w:tcPr>
            <w:tcW w:w="7200"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Does the Commonwealth expect the Offeror to perform Baseline Security Risk and Vulnerability Assessment on all or just a sub-set of applications in-scope (as detailed in Exhibit L) for the Security Transition Services described in Schedule F?  Please provide the list of applications that are in scope for the security assessment.</w:t>
            </w:r>
          </w:p>
        </w:tc>
        <w:tc>
          <w:tcPr>
            <w:tcW w:w="5670" w:type="dxa"/>
            <w:tcBorders>
              <w:top w:val="single" w:sz="4" w:space="0" w:color="auto"/>
              <w:left w:val="single" w:sz="4" w:space="0" w:color="auto"/>
              <w:bottom w:val="single" w:sz="4" w:space="0" w:color="auto"/>
              <w:right w:val="single" w:sz="4" w:space="0" w:color="auto"/>
            </w:tcBorders>
          </w:tcPr>
          <w:p w:rsidR="00961AA2" w:rsidRPr="00B3699F" w:rsidRDefault="00961AA2" w:rsidP="00023171">
            <w:pPr>
              <w:pStyle w:val="NoSpacing"/>
              <w:spacing w:before="60" w:after="60"/>
              <w:rPr>
                <w:rFonts w:ascii="Times New Roman" w:hAnsi="Times New Roman"/>
                <w:strike/>
                <w:color w:val="FF0000"/>
                <w:sz w:val="18"/>
                <w:szCs w:val="18"/>
              </w:rPr>
            </w:pPr>
            <w:r w:rsidRPr="00B3699F">
              <w:rPr>
                <w:rFonts w:ascii="Times New Roman" w:hAnsi="Times New Roman"/>
                <w:strike/>
                <w:color w:val="FF0000"/>
                <w:sz w:val="18"/>
                <w:szCs w:val="18"/>
              </w:rPr>
              <w:t>The Offeror must perform Baseline Security Risk and Vulnerability Assessments on infrastructure only.</w:t>
            </w:r>
          </w:p>
          <w:p w:rsidR="00961AA2" w:rsidRPr="00B3699F" w:rsidRDefault="00961AA2" w:rsidP="00023171">
            <w:pPr>
              <w:pStyle w:val="NoSpacing"/>
              <w:spacing w:before="60" w:after="60"/>
              <w:rPr>
                <w:rFonts w:ascii="Times New Roman" w:hAnsi="Times New Roman"/>
                <w:strike/>
                <w:color w:val="FF0000"/>
                <w:sz w:val="18"/>
                <w:szCs w:val="18"/>
              </w:rPr>
            </w:pPr>
            <w:r w:rsidRPr="00B3699F">
              <w:rPr>
                <w:rFonts w:ascii="Times New Roman" w:hAnsi="Times New Roman"/>
                <w:strike/>
                <w:color w:val="FF0000"/>
                <w:sz w:val="18"/>
                <w:szCs w:val="18"/>
              </w:rPr>
              <w:t>Security at OS level is performed by the Commonwealth. Commonwealth</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exhibit n</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Penndot</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form of network redundancy standards are built into the servers?</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Redundancy is dependent on business requirements.  IES ERP network within the DPH is fully redundant.</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General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All</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All</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Other than the “On-Demand” optional services for Database support and application load testing, please confirm that there are no other application services (like application design, application development, application performance, and or application maintenance) within the scope of this RFP.</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Items within the scope of this procurement is limited to managed infrastructure services, database management/design services, Software as a Service, and technical personnel that are related to the other services.</w:t>
            </w:r>
          </w:p>
        </w:tc>
      </w:tr>
      <w:tr w:rsidR="00961AA2" w:rsidRPr="005250E8" w:rsidTr="00B3699F">
        <w:trPr>
          <w:cantSplit/>
        </w:trPr>
        <w:tc>
          <w:tcPr>
            <w:tcW w:w="418" w:type="dxa"/>
            <w:gridSpan w:val="2"/>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Will the Commonwealth provide a financial base case of current spending?</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 the Commonwealth will not provide the current budget or spend on the services included within this procurement.</w:t>
            </w:r>
          </w:p>
        </w:tc>
      </w:tr>
      <w:tr w:rsidR="00961AA2" w:rsidRPr="005250E8" w:rsidTr="00B3699F">
        <w:trPr>
          <w:cantSplit/>
        </w:trPr>
        <w:tc>
          <w:tcPr>
            <w:tcW w:w="418" w:type="dxa"/>
            <w:gridSpan w:val="2"/>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Pr>
          <w:p w:rsidR="00961AA2" w:rsidRPr="001A443A" w:rsidRDefault="00961AA2" w:rsidP="00023171">
            <w:pPr>
              <w:pStyle w:val="NoSpacing"/>
              <w:tabs>
                <w:tab w:val="center" w:pos="1457"/>
              </w:tabs>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clarify if the Commonwealth will own the Data Powerhouse assets at the end of the Unisys contract or if Unisys will own the assets.</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assets will not be transferred to the new contractor.  Most Data Powerhouse equipment is provided as a service.  The Commonwealth has title (or lease) to very little of the equipment within the Data Powerhouse.  </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General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All</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All</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Who is responsible for debugging and troubleshooting 3</w:t>
            </w:r>
            <w:r w:rsidRPr="001A443A">
              <w:rPr>
                <w:color w:val="000000" w:themeColor="text1"/>
                <w:sz w:val="18"/>
                <w:szCs w:val="18"/>
                <w:vertAlign w:val="superscript"/>
              </w:rPr>
              <w:t>rd</w:t>
            </w:r>
            <w:r w:rsidRPr="001A443A">
              <w:rPr>
                <w:color w:val="000000" w:themeColor="text1"/>
                <w:sz w:val="18"/>
                <w:szCs w:val="18"/>
              </w:rPr>
              <w:t xml:space="preserve"> party software products (including Microsoft O/S products) and Commonwealth application software, the Commonwealth or the Service Provider?</w:t>
            </w: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r w:rsidRPr="001A443A">
              <w:rPr>
                <w:color w:val="000000" w:themeColor="text1"/>
                <w:sz w:val="18"/>
                <w:szCs w:val="18"/>
              </w:rPr>
              <w:t>If it is the Service Provider, who is financially responsible for this same work?</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procuring managed services within this RFP.  Therefore, the Offeror is responsible for the Hardware, network, and Operating System for all services.  Troubleshooting of all Offeror provided infrastructure is the responsibilities of the Offeror (including O/S in all cases).  However, software and applications provided by the Commonwealth are the Commonwealth’s responsibility to troubleshoot.</w:t>
            </w:r>
          </w:p>
        </w:tc>
      </w:tr>
      <w:tr w:rsidR="00961AA2" w:rsidRPr="005250E8" w:rsidTr="00B3699F">
        <w:trPr>
          <w:cantSplit/>
        </w:trPr>
        <w:tc>
          <w:tcPr>
            <w:tcW w:w="418" w:type="dxa"/>
            <w:gridSpan w:val="2"/>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1153" w:type="dxa"/>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1105" w:type="dxa"/>
            <w:gridSpan w:val="3"/>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w:t>
            </w:r>
          </w:p>
        </w:tc>
        <w:tc>
          <w:tcPr>
            <w:tcW w:w="7192"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Please confirm who will be responsible for directory services (AD, LDAP and NDS, etc.)?</w:t>
            </w:r>
          </w:p>
        </w:tc>
        <w:tc>
          <w:tcPr>
            <w:tcW w:w="5670" w:type="dxa"/>
            <w:shd w:val="clear" w:color="auto" w:fill="auto"/>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Commonwealth is responsible for the listed services. </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General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there a lab environment existing today to test applications before deployment?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There is no specific lab environment.  Each agency / application may have a “Lab” established for their use. </w:t>
            </w:r>
          </w:p>
        </w:tc>
      </w:tr>
      <w:tr w:rsidR="00961AA2" w:rsidRPr="005250E8" w:rsidTr="00B3699F">
        <w:trPr>
          <w:cantSplit/>
        </w:trPr>
        <w:tc>
          <w:tcPr>
            <w:tcW w:w="418" w:type="dxa"/>
            <w:gridSpan w:val="2"/>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General</w:t>
            </w:r>
          </w:p>
        </w:tc>
        <w:tc>
          <w:tcPr>
            <w:tcW w:w="1153" w:type="dxa"/>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General</w:t>
            </w:r>
          </w:p>
        </w:tc>
        <w:tc>
          <w:tcPr>
            <w:tcW w:w="1105" w:type="dxa"/>
            <w:gridSpan w:val="3"/>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7192" w:type="dxa"/>
          </w:tcPr>
          <w:p w:rsidR="00961AA2" w:rsidRPr="001A443A" w:rsidRDefault="00961AA2" w:rsidP="00023171">
            <w:pPr>
              <w:spacing w:before="60" w:after="60"/>
              <w:rPr>
                <w:color w:val="000000" w:themeColor="text1"/>
                <w:sz w:val="18"/>
                <w:szCs w:val="18"/>
              </w:rPr>
            </w:pPr>
            <w:r w:rsidRPr="001A443A">
              <w:rPr>
                <w:color w:val="000000" w:themeColor="text1"/>
                <w:sz w:val="18"/>
                <w:szCs w:val="18"/>
              </w:rPr>
              <w:t>Is it permissible for Bidders to submit documents not available in Microsoft Office format in Adobe PDF format only (e.g., audited financial statements, insurance documentation, etc.)?</w:t>
            </w:r>
          </w:p>
        </w:tc>
        <w:tc>
          <w:tcPr>
            <w:tcW w:w="5670" w:type="dxa"/>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General Information</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Exhibit B.1</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1</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63"/>
              <w:rPr>
                <w:rFonts w:ascii="Times New Roman" w:hAnsi="Times New Roman"/>
                <w:color w:val="000000" w:themeColor="text1"/>
                <w:sz w:val="18"/>
                <w:szCs w:val="18"/>
              </w:rPr>
            </w:pPr>
            <w:r w:rsidRPr="001A443A">
              <w:rPr>
                <w:rFonts w:ascii="Times New Roman" w:hAnsi="Times New Roman"/>
                <w:color w:val="000000" w:themeColor="text1"/>
                <w:sz w:val="18"/>
                <w:szCs w:val="18"/>
              </w:rPr>
              <w:t>What special consideration, if any, is being given to how geospatial services, content, data and applications are managed as a part of the project?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hosts these services within the infrastructure listed.  The data and applications are managed by the Commonwealth and are not within the scope of this procurement.</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 xml:space="preserve">Who is allowed to use co-location services? </w:t>
            </w: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p>
          <w:p w:rsidR="00961AA2" w:rsidRPr="001A443A" w:rsidRDefault="00961AA2" w:rsidP="00023171">
            <w:pPr>
              <w:spacing w:before="60" w:after="60"/>
              <w:rPr>
                <w:color w:val="000000" w:themeColor="text1"/>
                <w:sz w:val="18"/>
                <w:szCs w:val="18"/>
              </w:rPr>
            </w:pPr>
            <w:r w:rsidRPr="001A443A">
              <w:rPr>
                <w:color w:val="000000" w:themeColor="text1"/>
                <w:sz w:val="18"/>
                <w:szCs w:val="18"/>
              </w:rPr>
              <w:t>Exactly what services are to be provided to those co-locating?</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Any Commonwealth agency is allowed to use co-location services.</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is existing infrastructure owned by the Commonwealth that may remain in co-location until the infrastructure is to be refreshed.  The Commonwealth owned infrastructure is required to be retired and the applications/software utilizing that infrastructure it to be moved to a managed service.</w:t>
            </w: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has a need to provide co-location services to 3</w:t>
            </w:r>
            <w:r w:rsidRPr="001A443A">
              <w:rPr>
                <w:rFonts w:ascii="Times New Roman" w:hAnsi="Times New Roman"/>
                <w:color w:val="000000" w:themeColor="text1"/>
                <w:sz w:val="18"/>
                <w:szCs w:val="18"/>
                <w:vertAlign w:val="superscript"/>
              </w:rPr>
              <w:t>rd</w:t>
            </w:r>
            <w:r w:rsidRPr="001A443A">
              <w:rPr>
                <w:rFonts w:ascii="Times New Roman" w:hAnsi="Times New Roman"/>
                <w:color w:val="000000" w:themeColor="text1"/>
                <w:sz w:val="18"/>
                <w:szCs w:val="18"/>
              </w:rPr>
              <w:t xml:space="preserve"> parties as part of the services provided to/from the Commonwealth.  This service will remain within the co-location service.</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to provide no new infrastructure into co-location services.</w:t>
            </w:r>
          </w:p>
          <w:p w:rsidR="00961AA2" w:rsidRPr="001A443A" w:rsidRDefault="00961AA2" w:rsidP="00023171">
            <w:pPr>
              <w:pStyle w:val="NoSpacing"/>
              <w:spacing w:before="60" w:after="60"/>
              <w:rPr>
                <w:rFonts w:ascii="Times New Roman" w:hAnsi="Times New Roman"/>
                <w:color w:val="000000" w:themeColor="text1"/>
                <w:sz w:val="18"/>
                <w:szCs w:val="18"/>
              </w:rPr>
            </w:pPr>
          </w:p>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Specific services are detailed within the RFP and include physical separation and security, cabinet space, network, cooling, and electrical power.</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For local Commonwealth access, will co-location facilities need to be located in the Harrisburg, PA area or can they be available anywhere in the continental USA?</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Co-location can be located in other datacenters as long as the security of those datacenters meets the Commonwealth’s security policies.</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N/A</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Please confirm that the Commonwealth is looking for a prime service provider to provide all the requested services and that it is unacceptable to submit a partial response or a partial response that selectively picks favorable services and/or resource unit pricing.</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Confirmed.  It is unacceptable to submit a partial response.  </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III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24-25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the respondents be required to guarantee their PUE performance claims with a guarantor acceptable to the Commonwealth?</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III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24-25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those respondents providing an energy performance guarantee have their financial offering adjusted to reflect the real costs of better or poorer energy performance?</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I-23</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If substantial savings can be offered by the respondent with a full 10 year commitment from the Commonwealth in lieu of the 7 year commitment with an option to extend to 10 years specified in the RFP, would the Commonwealth be able to accept a 10 year commitment as an alternative offering?</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Does the Service Provider have any responsibility for hiring displaced Commonwealth staff as a result of this RFP?</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There is no requirement for the Offeror to hire displaced Commonwealth staff.</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if the Commonwealth is unable, for any reason, to fully execute a contract by July 1, 2013?  That allows less than 18 months for due diligence and for a vendor to successfully complete the EDC and DPH transitions.  Will the Milestone Due Dates and Milestone Credits reflected in Schedule D be adjusted?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Objections to the terms and conditions set forth in Appendix A may be made according to Part II-8 of the RFP.</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What if through the due diligence process there are changes to scope or mission?  Will the Commonwealth allow re-pricing at that time to recognize these changes and adjust the timelines associated with Schedule 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Refer to Section 27 (Change Control) of Appendix A.</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rPr>
                <w:color w:val="000000" w:themeColor="text1"/>
                <w:sz w:val="18"/>
                <w:szCs w:val="18"/>
              </w:rPr>
            </w:pPr>
            <w:r w:rsidRPr="001A443A">
              <w:rPr>
                <w:color w:val="000000" w:themeColor="text1"/>
                <w:sz w:val="18"/>
                <w:szCs w:val="18"/>
              </w:rPr>
              <w:t>Given the size of penalties for missed transition dates, who mediates disputes where delays are caused by the Commonwealth?</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Refer to Section 34 (Contract Controversies) of Appendix A.</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III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24-25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the Commonwealth add to the selection criteria favorable consideration for locating the data centers in areas which the Commonwealth has identified as economically distressed and in which the Commonwealth has invested millions of tax dollars?  If so, how heavily will this be weighted?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disclose detailed evaluation criteria.  Offerors should propose their best solution for the Commonwealth to evaluate.</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III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24-25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the Commonwealth add to the selection criteria favorable consideration for locating the data centers in facilities in areas which the Commonwealth has invested millions of tax dollars in those specific facilities, thereby securing a return on their investment and securing employment in those facilities in areas they have identified as economically distressed and in which they have invested?  If so, how heavily will this be weighted?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disclose detailed evaluation criteria.  Offerors should propose their best solution for the Commonwealth to evaluate.</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III</w:t>
            </w: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24-25</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Will weight be given in the evaluation for energy performance guarantees?  If so, how will this be evaluated?</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disclose detailed evaluation criteria.  Offerors should propose their best solution for the Commonwealth to evaluate.</w:t>
            </w:r>
          </w:p>
        </w:tc>
      </w:tr>
      <w:tr w:rsidR="00961AA2" w:rsidRPr="005250E8" w:rsidTr="00B3699F">
        <w:trPr>
          <w:cantSplit/>
        </w:trPr>
        <w:tc>
          <w:tcPr>
            <w:tcW w:w="418"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numPr>
                <w:ilvl w:val="0"/>
                <w:numId w:val="1"/>
              </w:numPr>
              <w:tabs>
                <w:tab w:val="left" w:pos="155"/>
              </w:tabs>
              <w:spacing w:before="60" w:after="60"/>
              <w:ind w:left="0" w:firstLine="0"/>
              <w:jc w:val="center"/>
              <w:rPr>
                <w:rFonts w:ascii="Times New Roman" w:hAnsi="Times New Roman"/>
                <w:color w:val="000000" w:themeColor="text1"/>
                <w:sz w:val="18"/>
                <w:szCs w:val="18"/>
              </w:rPr>
            </w:pPr>
          </w:p>
        </w:tc>
        <w:tc>
          <w:tcPr>
            <w:tcW w:w="2012" w:type="dxa"/>
            <w:gridSpan w:val="2"/>
            <w:tcBorders>
              <w:top w:val="single" w:sz="4" w:space="0" w:color="auto"/>
              <w:left w:val="single" w:sz="4" w:space="0" w:color="auto"/>
              <w:bottom w:val="single" w:sz="4" w:space="0" w:color="auto"/>
              <w:right w:val="single" w:sz="4" w:space="0" w:color="auto"/>
            </w:tcBorders>
          </w:tcPr>
          <w:p w:rsidR="00961AA2" w:rsidRPr="001A443A" w:rsidRDefault="00961AA2" w:rsidP="00023171">
            <w:pPr>
              <w:spacing w:before="60" w:after="60"/>
              <w:jc w:val="center"/>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Part I</w:t>
            </w:r>
          </w:p>
          <w:p w:rsidR="00961AA2" w:rsidRPr="001A443A" w:rsidRDefault="00961AA2" w:rsidP="00023171">
            <w:pPr>
              <w:pStyle w:val="NoSpacing"/>
              <w:spacing w:before="60" w:after="60"/>
              <w:jc w:val="center"/>
              <w:rPr>
                <w:rFonts w:ascii="Times New Roman" w:hAnsi="Times New Roman"/>
                <w:color w:val="000000" w:themeColor="text1"/>
                <w:sz w:val="18"/>
                <w:szCs w:val="18"/>
              </w:rPr>
            </w:pPr>
          </w:p>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I-23</w:t>
            </w:r>
          </w:p>
        </w:tc>
        <w:tc>
          <w:tcPr>
            <w:tcW w:w="1105" w:type="dxa"/>
            <w:gridSpan w:val="3"/>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jc w:val="center"/>
              <w:rPr>
                <w:rFonts w:ascii="Times New Roman" w:hAnsi="Times New Roman"/>
                <w:color w:val="000000" w:themeColor="text1"/>
                <w:sz w:val="18"/>
                <w:szCs w:val="18"/>
              </w:rPr>
            </w:pPr>
            <w:r w:rsidRPr="001A443A">
              <w:rPr>
                <w:rFonts w:ascii="Times New Roman" w:hAnsi="Times New Roman"/>
                <w:color w:val="000000" w:themeColor="text1"/>
                <w:sz w:val="18"/>
                <w:szCs w:val="18"/>
              </w:rPr>
              <w:t>7</w:t>
            </w:r>
          </w:p>
        </w:tc>
        <w:tc>
          <w:tcPr>
            <w:tcW w:w="7192"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The current timing of the transition of services subsequent to the signing of the contract does not allow for the construction of new, highly efficient data centers in which to house the equipment for the provided services.  Knowing that the infrastructure and energy costs in a data center account for 60% or more of the overall expense in a data center, and knowing that locating in older, less efficient data centers will ultimately cost the Commonwealth millions of additional dollars in operating expense (as much as $2,300,000 per year or more, for a total of over $16,000,000 over the 7 year life of the contract), will the Commonwealth allow for additional time in the transition of services to enable the successful vendor to build and commission a state of the art facility within the Commonwealth to house the equipment and realize millions of dollars in annual savings to the Commonwealth?  If not, why not?</w:t>
            </w:r>
          </w:p>
        </w:tc>
        <w:tc>
          <w:tcPr>
            <w:tcW w:w="5670" w:type="dxa"/>
            <w:tcBorders>
              <w:top w:val="single" w:sz="4" w:space="0" w:color="auto"/>
              <w:left w:val="single" w:sz="4" w:space="0" w:color="auto"/>
              <w:bottom w:val="single" w:sz="4" w:space="0" w:color="auto"/>
              <w:right w:val="single" w:sz="4" w:space="0" w:color="auto"/>
            </w:tcBorders>
          </w:tcPr>
          <w:p w:rsidR="00961AA2" w:rsidRPr="001A443A" w:rsidRDefault="00961AA2" w:rsidP="00023171">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Proposals must meet the requirements of the RFP.  An Offeror may propose to utilize a new facility at the start of the contract or at a later time during the term of the contract as long as all of the contract requirements are met.</w:t>
            </w:r>
          </w:p>
        </w:tc>
      </w:tr>
    </w:tbl>
    <w:p w:rsidR="00961AA2" w:rsidRDefault="00961AA2">
      <w:pPr>
        <w:rPr>
          <w:b/>
          <w:i/>
        </w:rPr>
      </w:pPr>
    </w:p>
    <w:p w:rsidR="00961AA2" w:rsidRDefault="00961AA2">
      <w:pPr>
        <w:rPr>
          <w:b/>
          <w:i/>
        </w:rPr>
      </w:pPr>
    </w:p>
    <w:p w:rsidR="00961AA2" w:rsidRDefault="00961AA2">
      <w:pPr>
        <w:rPr>
          <w:b/>
          <w:i/>
        </w:rPr>
      </w:pPr>
    </w:p>
    <w:p w:rsidR="00961AA2" w:rsidRDefault="00961AA2">
      <w:pPr>
        <w:rPr>
          <w:b/>
          <w:i/>
        </w:rPr>
      </w:pPr>
    </w:p>
    <w:tbl>
      <w:tblPr>
        <w:tblW w:w="175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1"/>
        <w:gridCol w:w="49"/>
        <w:gridCol w:w="180"/>
        <w:gridCol w:w="270"/>
        <w:gridCol w:w="900"/>
        <w:gridCol w:w="1153"/>
        <w:gridCol w:w="17"/>
        <w:gridCol w:w="1080"/>
        <w:gridCol w:w="8"/>
        <w:gridCol w:w="7372"/>
        <w:gridCol w:w="6030"/>
      </w:tblGrid>
      <w:tr w:rsidR="00961AA2" w:rsidRPr="004F6F86" w:rsidTr="00B3699F">
        <w:trPr>
          <w:cantSplit/>
          <w:tblHeader/>
        </w:trPr>
        <w:tc>
          <w:tcPr>
            <w:tcW w:w="17550" w:type="dxa"/>
            <w:gridSpan w:val="11"/>
            <w:shd w:val="clear" w:color="auto" w:fill="C6D9F1" w:themeFill="text2" w:themeFillTint="33"/>
          </w:tcPr>
          <w:p w:rsidR="00961AA2" w:rsidRPr="001A443A" w:rsidRDefault="00961AA2" w:rsidP="00B3699F">
            <w:pPr>
              <w:pStyle w:val="NoSpacing"/>
              <w:spacing w:before="60" w:after="60"/>
              <w:rPr>
                <w:rFonts w:ascii="Times New Roman" w:hAnsi="Times New Roman"/>
                <w:b/>
                <w:sz w:val="18"/>
                <w:szCs w:val="18"/>
              </w:rPr>
            </w:pPr>
            <w:r w:rsidRPr="001A443A">
              <w:rPr>
                <w:rFonts w:ascii="Times New Roman" w:hAnsi="Times New Roman"/>
                <w:b/>
                <w:i/>
                <w:sz w:val="18"/>
                <w:szCs w:val="18"/>
              </w:rPr>
              <w:t>Addendum 4 – Round 1, Part 2</w:t>
            </w:r>
          </w:p>
        </w:tc>
      </w:tr>
      <w:tr w:rsidR="00961AA2" w:rsidRPr="004F6F86" w:rsidTr="00B3699F">
        <w:trPr>
          <w:cantSplit/>
          <w:tblHeader/>
        </w:trPr>
        <w:tc>
          <w:tcPr>
            <w:tcW w:w="990" w:type="dxa"/>
            <w:gridSpan w:val="4"/>
            <w:shd w:val="clear" w:color="auto" w:fill="C6D9F1" w:themeFill="text2" w:themeFillTint="33"/>
          </w:tcPr>
          <w:p w:rsidR="00961AA2" w:rsidRPr="001A443A" w:rsidRDefault="00961AA2" w:rsidP="00B3699F">
            <w:pPr>
              <w:pStyle w:val="ListParagraph"/>
              <w:tabs>
                <w:tab w:val="left" w:pos="155"/>
              </w:tabs>
              <w:spacing w:before="60" w:after="60"/>
              <w:ind w:left="0"/>
              <w:rPr>
                <w:rFonts w:ascii="Times New Roman" w:hAnsi="Times New Roman"/>
                <w:b/>
                <w:color w:val="000000" w:themeColor="text1"/>
                <w:sz w:val="18"/>
                <w:szCs w:val="18"/>
              </w:rPr>
            </w:pPr>
          </w:p>
        </w:tc>
        <w:tc>
          <w:tcPr>
            <w:tcW w:w="900" w:type="dxa"/>
            <w:shd w:val="clear" w:color="auto" w:fill="C6D9F1" w:themeFill="text2" w:themeFillTint="33"/>
          </w:tcPr>
          <w:p w:rsidR="00961AA2" w:rsidRPr="001A443A" w:rsidRDefault="00961AA2" w:rsidP="00B3699F">
            <w:pPr>
              <w:pStyle w:val="NoSpacing"/>
              <w:tabs>
                <w:tab w:val="left" w:pos="1221"/>
              </w:tabs>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153" w:type="dxa"/>
            <w:shd w:val="clear" w:color="auto" w:fill="C6D9F1" w:themeFill="text2" w:themeFillTint="33"/>
          </w:tcPr>
          <w:p w:rsidR="00961AA2" w:rsidRPr="001A443A" w:rsidRDefault="00961AA2" w:rsidP="00B3699F">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1105" w:type="dxa"/>
            <w:gridSpan w:val="3"/>
            <w:shd w:val="clear" w:color="auto" w:fill="C6D9F1" w:themeFill="text2" w:themeFillTint="33"/>
          </w:tcPr>
          <w:p w:rsidR="00961AA2" w:rsidRPr="001A443A" w:rsidRDefault="00961AA2" w:rsidP="00B3699F">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7372" w:type="dxa"/>
            <w:shd w:val="clear" w:color="auto" w:fill="C6D9F1" w:themeFill="text2" w:themeFillTint="33"/>
          </w:tcPr>
          <w:p w:rsidR="00961AA2" w:rsidRPr="001A443A" w:rsidRDefault="00961AA2" w:rsidP="00B3699F">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6030" w:type="dxa"/>
            <w:shd w:val="clear" w:color="auto" w:fill="C6D9F1" w:themeFill="text2" w:themeFillTint="33"/>
          </w:tcPr>
          <w:p w:rsidR="00961AA2" w:rsidRPr="001A443A" w:rsidRDefault="00961AA2" w:rsidP="00B3699F">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Can a Service Provider use or hire redundant or excess Commonwealth staff as part of their proposal?</w:t>
            </w:r>
          </w:p>
          <w:p w:rsidR="00961AA2" w:rsidRPr="001A443A" w:rsidRDefault="00961AA2" w:rsidP="00B3699F">
            <w:pPr>
              <w:spacing w:before="60" w:after="60"/>
              <w:rPr>
                <w:color w:val="000000" w:themeColor="text1"/>
                <w:sz w:val="18"/>
                <w:szCs w:val="18"/>
              </w:rPr>
            </w:pPr>
          </w:p>
          <w:p w:rsidR="00961AA2" w:rsidRPr="001A443A" w:rsidRDefault="00961AA2" w:rsidP="00B3699F">
            <w:pPr>
              <w:spacing w:before="60" w:after="60"/>
              <w:rPr>
                <w:color w:val="000000" w:themeColor="text1"/>
                <w:sz w:val="18"/>
                <w:szCs w:val="18"/>
              </w:rPr>
            </w:pPr>
            <w:r w:rsidRPr="001A443A">
              <w:rPr>
                <w:color w:val="000000" w:themeColor="text1"/>
                <w:sz w:val="18"/>
                <w:szCs w:val="18"/>
              </w:rPr>
              <w:t>To lower overall costs, can a Service Provider make assumptions around work that the Service Provider would assume to be the responsibility of the Commonwealth?</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PlainText"/>
              <w:rPr>
                <w:rFonts w:ascii="Times New Roman" w:eastAsia="Calibri" w:hAnsi="Times New Roman"/>
                <w:color w:val="000000" w:themeColor="text1"/>
                <w:sz w:val="18"/>
                <w:szCs w:val="18"/>
              </w:rPr>
            </w:pPr>
            <w:r w:rsidRPr="001A443A">
              <w:rPr>
                <w:rFonts w:ascii="Times New Roman" w:eastAsia="Calibri" w:hAnsi="Times New Roman"/>
                <w:color w:val="000000" w:themeColor="text1"/>
                <w:sz w:val="18"/>
                <w:szCs w:val="18"/>
              </w:rPr>
              <w:t>At this juncture the Commonwealth cannot assess the level of impact this procurement may have on existing Commonwealth IT staff.  Should an impact ultimately be realized, he Commonwealth expects the Offeror to invite those impacted to apply for job opportunities, grant them interviews and provide them due consideration.</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No.  Offerors should ask questions prior to the proposal due date to eliminate the need to make assumptions.  </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Can a vendor use any of the existing Commonwealth data centers (beyond the EDC) to host some of the applications within scope, especially if there is a financial benefit to the Commonwealth to do so?  If allowed, what sites would be available?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only existing location to remain as a hosting site for applications is the EDC.  All others will be repurposed.</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Given the Commonwealth will be providing the fiber link between the vendor data center and their network are SLAs waived if the link has any performance issues that impact categories of SLAs mandated in the RFP?</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Offeror is to provide the data link between the Commonwealth and the Offeror’s datacenters.   The SLAs apply. </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If a vendor’s data center or cloud offering is shared with other non-Commonwealth clients, what physical changes will be required to the facility, if any, to separate the Commonwealth’s computing assets from those of other clients?</w:t>
            </w:r>
          </w:p>
          <w:p w:rsidR="00961AA2" w:rsidRPr="001A443A" w:rsidRDefault="00961AA2" w:rsidP="00B3699F">
            <w:pPr>
              <w:spacing w:before="60" w:after="60"/>
              <w:rPr>
                <w:color w:val="000000" w:themeColor="text1"/>
                <w:sz w:val="18"/>
                <w:szCs w:val="18"/>
              </w:rPr>
            </w:pPr>
          </w:p>
          <w:p w:rsidR="00961AA2" w:rsidRPr="001A443A" w:rsidRDefault="00961AA2" w:rsidP="00B3699F">
            <w:pPr>
              <w:spacing w:before="60" w:after="60"/>
              <w:rPr>
                <w:color w:val="000000" w:themeColor="text1"/>
                <w:sz w:val="18"/>
                <w:szCs w:val="18"/>
              </w:rPr>
            </w:pPr>
            <w:r w:rsidRPr="001A443A">
              <w:rPr>
                <w:color w:val="000000" w:themeColor="text1"/>
                <w:sz w:val="18"/>
                <w:szCs w:val="18"/>
              </w:rPr>
              <w:t>If needed to facilitate an existing public cloud offering, is the Commonwealth willing to sign the public cloud Offerors terms and conditions?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requirements have been provided within the RFP, including the CJIS, CHRIA, and ITB references.</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See Part II-8 of the RFP.</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Request for Proposal</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 Offeror Pricing Forms</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I-5 Type of Contract</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Descriptions and Instructions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RFP states: “It is proposed that if the Issuing Office enters into a contract as a result of this RFP, it will be a firm, fixed price contract containing the Contract Terms and Conditions as shown in Appendix A.”  However, Schedule I states on Descriptions and Instructions tab: “e.) Payment for services under this contract are unit-based.  The total units (volume metrics) listed are for informational purposes only and will not be binding on the Commonwealth.”</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Could the Commonwealth clarify whether this will eventually be a fixed annual price committed contract?  Are unit rates and volume metrics non-binding only for this first round of the RFP?  Will all (or a portion) of the final contract be unit rate based with committed volumes?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unit prices entered by Offerors on Schedule I will become fixed prices.  The total units (volume metrics) in Schedule I are not fixed and are for evaluation purposes only and will not be binding on the Commonwealth. The Commonwealth intends to pay a fixed cost per unit with the units being determined on a consumption-based model.</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Should the fiber connection be delayed or any other required act by the Commonwealth, what impact does that have on the December 31, 2014 deadline including the $50M penalty?</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These would be handled on a case-by-case basis.  If the delay is solely caused by the Commonwealth, the Offeror will not be responsible for failing to meet a Milestone.  The Fiber Connection is the responsibility of the Offeror to deliver to the Commonwealth within the Milestone due date.</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I-5</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The request for a firm fixed price contract appears to conflict with the problem statements goal to provide services on a consumption-based model. Please clarify.</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unit prices entered by Offerors on Schedule I will become fixed prices.  The total units (volume metrics) in Schedule I are not fixed and are for evaluation purposes only and will not be binding on the Commonwealth. The Commonwealth intends to pay a fixed cost per unit with the units being determined on a consumption-based model.</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I-30, B</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13</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For the requested COSTARS form, please provide direction for how to note that a bidder has already paid (or will continue to pay) the COSTARS Administrative Fees.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COSTARS administrative fee is paid on a per contract basis.  To participate in the COSTARS program, the Offeror must pay the administrative fee for each contract.</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II-6</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19</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the absence of visibility into Commonwealth staffing numbers by role, please provide the number of Commonwealth personnel to be trained?</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must describe their training approach and methodologies.  The number of staff to be trained will be dependent on the proposed methods.</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II-8</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20</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It appears there is conflict between the first and last paragraphs of this section. The first provides an opportunity for the Offeror to identify which of the T&amp;C’s in Appendix A they would like to negotiate and which they would like to add to the standard T&amp;C’s, whereas the last paragraph states that any proposal that is conditioned on the negotiation of the T&amp;C’s (Appendix A) will be rejected.   Can you please clarify?</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There is no conflict between the paragraphs.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An Offeror may identify which, if any, of the terms and conditions contained in Appendix A it would like to negotiate and what additional terms and conditions the Offeror would like to add to the contract terms and conditions.  The Commonwealth may, in its sole discretion, accept or reject any of the requested changes.  Regardless of any objections set out in its proposal, the Offeror </w:t>
            </w:r>
            <w:r w:rsidRPr="001A443A">
              <w:rPr>
                <w:rFonts w:ascii="Times New Roman" w:hAnsi="Times New Roman"/>
                <w:color w:val="000000" w:themeColor="text1"/>
                <w:sz w:val="18"/>
                <w:szCs w:val="18"/>
                <w:u w:val="single"/>
              </w:rPr>
              <w:t>must</w:t>
            </w:r>
            <w:r w:rsidRPr="001A443A">
              <w:rPr>
                <w:rFonts w:ascii="Times New Roman" w:hAnsi="Times New Roman"/>
                <w:color w:val="000000" w:themeColor="text1"/>
                <w:sz w:val="18"/>
                <w:szCs w:val="18"/>
              </w:rPr>
              <w:t xml:space="preserve"> submit its proposal, including the cost proposal, </w:t>
            </w:r>
            <w:r w:rsidRPr="001A443A">
              <w:rPr>
                <w:rFonts w:ascii="Times New Roman" w:hAnsi="Times New Roman"/>
                <w:color w:val="000000" w:themeColor="text1"/>
                <w:sz w:val="18"/>
                <w:szCs w:val="18"/>
                <w:u w:val="single"/>
              </w:rPr>
              <w:t>on the basis of</w:t>
            </w:r>
            <w:r w:rsidRPr="001A443A">
              <w:rPr>
                <w:rFonts w:ascii="Times New Roman" w:hAnsi="Times New Roman"/>
                <w:color w:val="000000" w:themeColor="text1"/>
                <w:sz w:val="18"/>
                <w:szCs w:val="18"/>
              </w:rPr>
              <w:t xml:space="preserve"> the terms and conditions set out in Appendix A.  The Issuing Office will reject any proposal that is </w:t>
            </w:r>
            <w:r w:rsidRPr="001A443A">
              <w:rPr>
                <w:rFonts w:ascii="Times New Roman" w:hAnsi="Times New Roman"/>
                <w:color w:val="000000" w:themeColor="text1"/>
                <w:sz w:val="18"/>
                <w:szCs w:val="18"/>
                <w:u w:val="single"/>
              </w:rPr>
              <w:t>conditioned on</w:t>
            </w:r>
            <w:r w:rsidRPr="001A443A">
              <w:rPr>
                <w:rFonts w:ascii="Times New Roman" w:hAnsi="Times New Roman"/>
                <w:color w:val="000000" w:themeColor="text1"/>
                <w:sz w:val="18"/>
                <w:szCs w:val="18"/>
              </w:rPr>
              <w:t xml:space="preserve"> the negotiation of the terms and conditions set out in Appendix A.</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sz w:val="18"/>
                <w:szCs w:val="18"/>
              </w:rPr>
            </w:pPr>
          </w:p>
        </w:tc>
        <w:tc>
          <w:tcPr>
            <w:tcW w:w="900" w:type="dxa"/>
            <w:shd w:val="clear" w:color="auto" w:fill="auto"/>
          </w:tcPr>
          <w:p w:rsidR="00961AA2" w:rsidRPr="001A443A" w:rsidRDefault="00961AA2" w:rsidP="00B3699F">
            <w:pPr>
              <w:spacing w:before="60" w:after="60"/>
              <w:rPr>
                <w:sz w:val="18"/>
                <w:szCs w:val="18"/>
              </w:rPr>
            </w:pPr>
            <w:r w:rsidRPr="001A443A">
              <w:rPr>
                <w:sz w:val="18"/>
                <w:szCs w:val="18"/>
              </w:rPr>
              <w:t>Request for Proposal</w:t>
            </w:r>
          </w:p>
        </w:tc>
        <w:tc>
          <w:tcPr>
            <w:tcW w:w="1153" w:type="dxa"/>
            <w:shd w:val="clear" w:color="auto" w:fill="auto"/>
          </w:tcPr>
          <w:p w:rsidR="00961AA2" w:rsidRPr="001A443A" w:rsidRDefault="00961AA2" w:rsidP="00B3699F">
            <w:pPr>
              <w:spacing w:before="60" w:after="60"/>
              <w:rPr>
                <w:sz w:val="18"/>
                <w:szCs w:val="18"/>
              </w:rPr>
            </w:pPr>
            <w:r w:rsidRPr="001A443A">
              <w:rPr>
                <w:sz w:val="18"/>
                <w:szCs w:val="18"/>
              </w:rPr>
              <w:t>Sec. II-8</w:t>
            </w:r>
          </w:p>
        </w:tc>
        <w:tc>
          <w:tcPr>
            <w:tcW w:w="1105" w:type="dxa"/>
            <w:gridSpan w:val="3"/>
            <w:shd w:val="clear" w:color="auto" w:fill="auto"/>
          </w:tcPr>
          <w:p w:rsidR="00961AA2" w:rsidRPr="001A443A" w:rsidRDefault="00961AA2" w:rsidP="00B3699F">
            <w:pPr>
              <w:spacing w:before="60" w:after="60"/>
              <w:rPr>
                <w:sz w:val="18"/>
                <w:szCs w:val="18"/>
              </w:rPr>
            </w:pPr>
            <w:r w:rsidRPr="001A443A">
              <w:rPr>
                <w:sz w:val="18"/>
                <w:szCs w:val="18"/>
              </w:rPr>
              <w:t>Page 20</w:t>
            </w:r>
          </w:p>
        </w:tc>
        <w:tc>
          <w:tcPr>
            <w:tcW w:w="7372" w:type="dxa"/>
            <w:shd w:val="clear" w:color="auto" w:fill="auto"/>
          </w:tcPr>
          <w:p w:rsidR="00961AA2" w:rsidRPr="001A443A" w:rsidRDefault="00961AA2" w:rsidP="00B3699F">
            <w:pPr>
              <w:spacing w:before="60" w:after="60"/>
              <w:rPr>
                <w:sz w:val="18"/>
                <w:szCs w:val="18"/>
              </w:rPr>
            </w:pPr>
            <w:r w:rsidRPr="001A443A">
              <w:rPr>
                <w:sz w:val="18"/>
                <w:szCs w:val="18"/>
              </w:rPr>
              <w:t>RFP Sec. II-8 states that “The Offeror will identify which, if any, of the terms and conditions (contained in Appendix A) it would like to negotiate and what additional terms and conditions the Offeror would like to add to the standard contract terms and conditions… The Offeror shall not request changes to the other provisions of the RFP, nor shall the Offeror request to completely substitute its own terms and conditions for Appendix A.”  Given that Appendix A incorporates numerous Schedules of a contractual nature (examples: Schedule D – Transition Milestones; Schedules J1-J3 – Service Level Management), would the Commonwealth please confirm that vendors are authorized to request changes in connection with the Schedules as well?</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may request changes to the Schedules attached to Appendix A in accordance with Part II-8 of the RFP.</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Issuing Office will, however, reject any proposal that is conditioned on the negotiation of the terms and conditions set out in Appendix A and its Schedules.</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Request for Proposal</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II-10</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II-8</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22</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20</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It is stated here that “Offerors should not include any assumptions in their cost submittals.”  Can assumptions be included according to section Part II-8 Objections and Additions to Contract Terms and Conditions of this same document?</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No.  Offerors should ask questions prior to the proposal due date to eliminate the need to make assumptions.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Part II-8 refers to objections and additions to Appendix A.</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III-4</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24</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The RFP provides the lists of scoring criteria that will be used to evaluate and award technical proposal points.  The Commonwealth has not listed the Service Provider’s proposed Work Plan as a section to be scored in their criteria.  Is this an oversight?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Offeror’s proposed Work Plan will be evaluated as part of the criteria listed in the RFP.</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IV-1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29</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Is there an actual requirement to replace “the existing DPH” datacenter or can it be used as part of the proposed solution?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existing DPH may not be used as part of a proposed solution.</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I-12</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Page 33</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Since the Commonwealth requires that Vendors submit their response in Microsoft Word format, is it acceptable to include unsigned versions of the documents/forms on the CD copies?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Signed MSWord documents are preferred.  If unsigned MSWord documents are submitted, the Offeror must also submit signed PDF versions.</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1-12 and II</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Pages 3 and 17</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RFP states: “Offerors shall submit two (2) complete and exact copies of the entire proposal (Technical, Cost and SDB submittals, along with all requested documents) on CD-ROM or Flash drive…” and “three separately sealed submittals.” Should Offerors seal 2 requested CD-ROMs or Flash Drives in a separate package as well? Or should Offerors include 2 electronic copies of each submittal sealed with the corresponding hard copies?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Offers should submit the two (2) complete exact copies of their entire proposal on CD-ROM or Flash Drive in a separately sealed package.</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 Part 1/ Appendix A/</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I-23/ Appendix A/Schedule D</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1 -1(d)/pg 1</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The intro to Schedule D - Transition Milestones, implies billing would occur after milestone completion.  However, no transition can begin until the Effective date. RFP I-23 states "the Contract will commence on the Effective Date and will end in seven (7) years."  Where is there a transition period if it isn’t prior to Effective date?  Is it expected that transition and steady state start at the same time?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transition period cannot start before the Effective Date of the contract.  No, it is not expected that transition and steady state start at the same time. The Commonwealth anticipates the transition period will occur before steady state and be part of the seven year contract term.  </w:t>
            </w: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Request for Proposal Parts I-IVIV</w:t>
            </w:r>
          </w:p>
        </w:tc>
        <w:tc>
          <w:tcPr>
            <w:tcW w:w="1153"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III-4</w:t>
            </w:r>
          </w:p>
        </w:tc>
        <w:tc>
          <w:tcPr>
            <w:tcW w:w="1105" w:type="dxa"/>
            <w:gridSpan w:val="3"/>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Page 24</w:t>
            </w: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For the Technical evaluation criteria, what is the Commonwealth’s established value(s) for each of the five (5) evaluation factors listed:</w:t>
            </w:r>
          </w:p>
          <w:p w:rsidR="00961AA2" w:rsidRPr="001A443A" w:rsidRDefault="00961AA2" w:rsidP="00B3699F">
            <w:pPr>
              <w:numPr>
                <w:ilvl w:val="0"/>
                <w:numId w:val="4"/>
              </w:numPr>
              <w:spacing w:before="60" w:after="60"/>
              <w:rPr>
                <w:color w:val="000000" w:themeColor="text1"/>
                <w:sz w:val="18"/>
                <w:szCs w:val="18"/>
              </w:rPr>
            </w:pPr>
            <w:r w:rsidRPr="001A443A">
              <w:rPr>
                <w:color w:val="000000" w:themeColor="text1"/>
                <w:sz w:val="18"/>
                <w:szCs w:val="18"/>
              </w:rPr>
              <w:t>Proposed Facilities</w:t>
            </w:r>
          </w:p>
          <w:p w:rsidR="00961AA2" w:rsidRPr="001A443A" w:rsidRDefault="00961AA2" w:rsidP="00B3699F">
            <w:pPr>
              <w:numPr>
                <w:ilvl w:val="0"/>
                <w:numId w:val="4"/>
              </w:numPr>
              <w:spacing w:before="60" w:after="60"/>
              <w:rPr>
                <w:color w:val="000000" w:themeColor="text1"/>
                <w:sz w:val="18"/>
                <w:szCs w:val="18"/>
              </w:rPr>
            </w:pPr>
            <w:r w:rsidRPr="001A443A">
              <w:rPr>
                <w:color w:val="000000" w:themeColor="text1"/>
                <w:sz w:val="18"/>
                <w:szCs w:val="18"/>
              </w:rPr>
              <w:t>Offeror Qualification</w:t>
            </w:r>
          </w:p>
          <w:p w:rsidR="00961AA2" w:rsidRPr="001A443A" w:rsidRDefault="00961AA2" w:rsidP="00B3699F">
            <w:pPr>
              <w:numPr>
                <w:ilvl w:val="0"/>
                <w:numId w:val="4"/>
              </w:numPr>
              <w:spacing w:before="60" w:after="60"/>
              <w:rPr>
                <w:color w:val="000000" w:themeColor="text1"/>
                <w:sz w:val="18"/>
                <w:szCs w:val="18"/>
              </w:rPr>
            </w:pPr>
            <w:r w:rsidRPr="001A443A">
              <w:rPr>
                <w:color w:val="000000" w:themeColor="text1"/>
                <w:sz w:val="18"/>
                <w:szCs w:val="18"/>
              </w:rPr>
              <w:t>Personnel Qualifications</w:t>
            </w:r>
          </w:p>
          <w:p w:rsidR="00961AA2" w:rsidRPr="001A443A" w:rsidRDefault="00961AA2" w:rsidP="00B3699F">
            <w:pPr>
              <w:numPr>
                <w:ilvl w:val="0"/>
                <w:numId w:val="4"/>
              </w:numPr>
              <w:spacing w:before="60" w:after="60"/>
              <w:rPr>
                <w:color w:val="000000" w:themeColor="text1"/>
                <w:sz w:val="18"/>
                <w:szCs w:val="18"/>
              </w:rPr>
            </w:pPr>
            <w:r w:rsidRPr="001A443A">
              <w:rPr>
                <w:color w:val="000000" w:themeColor="text1"/>
                <w:sz w:val="18"/>
                <w:szCs w:val="18"/>
              </w:rPr>
              <w:t>Soundness of Approach</w:t>
            </w:r>
          </w:p>
          <w:p w:rsidR="00961AA2" w:rsidRPr="001A443A" w:rsidRDefault="00961AA2" w:rsidP="00B3699F">
            <w:pPr>
              <w:numPr>
                <w:ilvl w:val="0"/>
                <w:numId w:val="4"/>
              </w:numPr>
              <w:spacing w:before="60" w:after="60"/>
              <w:rPr>
                <w:color w:val="000000" w:themeColor="text1"/>
                <w:sz w:val="18"/>
                <w:szCs w:val="18"/>
              </w:rPr>
            </w:pPr>
            <w:r w:rsidRPr="001A443A">
              <w:rPr>
                <w:color w:val="000000" w:themeColor="text1"/>
                <w:sz w:val="18"/>
                <w:szCs w:val="18"/>
              </w:rPr>
              <w:t>Understanding the Problem</w:t>
            </w:r>
          </w:p>
          <w:p w:rsidR="00961AA2" w:rsidRPr="001A443A" w:rsidRDefault="00961AA2" w:rsidP="00B3699F">
            <w:pPr>
              <w:spacing w:before="60" w:after="60"/>
              <w:rPr>
                <w:color w:val="000000" w:themeColor="text1"/>
                <w:sz w:val="18"/>
                <w:szCs w:val="18"/>
              </w:rPr>
            </w:pPr>
            <w:r w:rsidRPr="001A443A">
              <w:rPr>
                <w:color w:val="000000" w:themeColor="text1"/>
                <w:sz w:val="18"/>
                <w:szCs w:val="18"/>
              </w:rPr>
              <w:t>What is the value for each of the evaluation factors? Please define the percentage of points for each category?</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disclose the value of each evaluation factor.</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3.2.1.7</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57</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Is there a master list of CI’s and their associated definitions that the state requires to be populated into the CMDB?</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D</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All M</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the event a critical Milestone is missed due to a non Offeror delay (State or Agency induced), there could be additional cost incurred by the Offeror as well as missed Milestone penalties and a potential impact to the Transition plan. What would be the proper remediation process between the Commonwealth and the Offeror?</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Refer to Section 27 (Change Control) and Section 34 (Contract Controversies) of Appendix A.</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D</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M-4</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Does the Transition Milestone of Due Diligence shown in Schedule D imply that there will be a procedure for adjusting the price of the contract following any discovery?</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Is the Fully Managed price expected to include hardware refresh?</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Is there a firm limit placed on the amount of Co-location services to be provided?  </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is to stop the agencies from using only Co-location?</w:t>
            </w:r>
          </w:p>
        </w:tc>
        <w:tc>
          <w:tcPr>
            <w:tcW w:w="6030" w:type="dxa"/>
            <w:shd w:val="clear" w:color="auto" w:fill="auto"/>
          </w:tcPr>
          <w:p w:rsidR="00961AA2" w:rsidRPr="001A443A" w:rsidRDefault="00961AA2" w:rsidP="00B3699F">
            <w:pPr>
              <w:pStyle w:val="NoSpacing"/>
              <w:numPr>
                <w:ilvl w:val="0"/>
                <w:numId w:val="34"/>
              </w:numPr>
              <w:spacing w:before="60" w:after="60"/>
              <w:ind w:left="392"/>
              <w:rPr>
                <w:rFonts w:ascii="Times New Roman" w:hAnsi="Times New Roman"/>
                <w:color w:val="000000" w:themeColor="text1"/>
                <w:sz w:val="18"/>
                <w:szCs w:val="18"/>
              </w:rPr>
            </w:pPr>
            <w:r w:rsidRPr="001A443A">
              <w:rPr>
                <w:rFonts w:ascii="Times New Roman" w:hAnsi="Times New Roman"/>
                <w:color w:val="000000" w:themeColor="text1"/>
                <w:sz w:val="18"/>
                <w:szCs w:val="18"/>
              </w:rPr>
              <w:t>Yes, per Commonwealth policy, co-location is to be used only for 3</w:t>
            </w:r>
            <w:r w:rsidRPr="001A443A">
              <w:rPr>
                <w:rFonts w:ascii="Times New Roman" w:hAnsi="Times New Roman"/>
                <w:color w:val="000000" w:themeColor="text1"/>
                <w:sz w:val="18"/>
                <w:szCs w:val="18"/>
                <w:vertAlign w:val="superscript"/>
              </w:rPr>
              <w:t>rd</w:t>
            </w:r>
            <w:r w:rsidRPr="001A443A">
              <w:rPr>
                <w:rFonts w:ascii="Times New Roman" w:hAnsi="Times New Roman"/>
                <w:color w:val="000000" w:themeColor="text1"/>
                <w:sz w:val="18"/>
                <w:szCs w:val="18"/>
              </w:rPr>
              <w:t xml:space="preserve"> party equipment.</w:t>
            </w:r>
          </w:p>
          <w:p w:rsidR="00961AA2" w:rsidRPr="001A443A" w:rsidRDefault="00961AA2" w:rsidP="00B3699F">
            <w:pPr>
              <w:pStyle w:val="NoSpacing"/>
              <w:numPr>
                <w:ilvl w:val="0"/>
                <w:numId w:val="34"/>
              </w:numPr>
              <w:spacing w:before="60" w:after="60"/>
              <w:ind w:left="39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Commonwealth policy will dictate the amount and use of Limited Co-Lo Services. </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middleware support requirements are set forth in the SOW.  There is no middleware within the scope of this RFP?</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Commonwealth does not consider the management of middleware different than application management.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requires middleware support to be part of the service catalog offerings.</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SOW requires Capacity on Demand Services for I Series, P Series and Mainframe (IBM and Unisys), yet there are no Volumetrics in Schedule I.  Are these services still required?</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Commonwealth has established multiple scenarios of infrastructure configurations specifically for pricing evaluation, as set forth in Schedule I.  Actual volumes will vary.  </w:t>
            </w: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appear to be differences in server support definitions between the SOW and Schedule I.  Schedule I sets forth Fully Managed, Managed Only and Limited Co-Lo.  The SOW describes Managed Hosting Services for specific scenarios, such as Windows Support, and Co-location Service Options 1, 2 and 3.  Could the Commonwealth please reconcile the two schedules?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Commonwealth is procuring “Fully Managed”, “Managed Only”, and “Limited Co-Lo” for many scenarios and several technologies.  Schedule F (SOW) defines the technologies and scenarios.  Schedule I (Offeror Pricing Forms) includes a sample of possible scenarios and will be used for the cost evaluation. </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K</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is the contract start date mentioned in the SOW?  Is it the same as the Effective Date set forth in Schedule K?</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Effective Date is defined in Appendix A, Paragraph 1.  All references to Effective Date and Contract Start Date have that meaning.</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Will affected employees of the Commonwealth be made available to the Offeror for hiring?  If displaced, does the incumbent supplier have an obligation to make affected employees available for hiring?</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At this juncture the Commonwealth cannot assess the level of impact this procurement may have on existing Commonwealth IT staff.  Should an impact ultimately be realized, there is no requirement for the Offeror to hire displaced Commonwealth staff.  The Commonwealth does expect the Offeror to invite those impacted to apply for job opportunities, grant them interviews and provide them due consideration. (Please note this answer replaces the answer provided for question 150 of Round 1 Part 1 posting.)</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has no knowledge of any restrictions on employees of the incumbent contractor that may be displaced.</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 Offeror Guidelines</w:t>
            </w:r>
          </w:p>
        </w:tc>
        <w:tc>
          <w:tcPr>
            <w:tcW w:w="1105" w:type="dxa"/>
            <w:gridSpan w:val="3"/>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Page 4</w:t>
            </w: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Several sections in Schedule F contain tables/matrices with a placeholder for Offeror’s response in the last row/cell.</w:t>
            </w:r>
          </w:p>
          <w:p w:rsidR="00961AA2" w:rsidRPr="001A443A" w:rsidRDefault="00961AA2" w:rsidP="00B3699F">
            <w:pPr>
              <w:spacing w:before="60" w:after="60"/>
              <w:rPr>
                <w:color w:val="000000" w:themeColor="text1"/>
                <w:sz w:val="18"/>
                <w:szCs w:val="18"/>
              </w:rPr>
            </w:pPr>
          </w:p>
          <w:p w:rsidR="00961AA2" w:rsidRPr="001A443A" w:rsidRDefault="00961AA2" w:rsidP="00B3699F">
            <w:pPr>
              <w:pStyle w:val="ListParagraph"/>
              <w:numPr>
                <w:ilvl w:val="0"/>
                <w:numId w:val="7"/>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For ease review and evaluation, is it permissible that Offerors provide their response to each requirement immediately following the requirement?</w:t>
            </w:r>
          </w:p>
          <w:p w:rsidR="00961AA2" w:rsidRPr="001A443A" w:rsidRDefault="00961AA2" w:rsidP="00B3699F">
            <w:pPr>
              <w:pStyle w:val="ListParagraph"/>
              <w:numPr>
                <w:ilvl w:val="0"/>
                <w:numId w:val="7"/>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To accommodate and ease the use of graphics and tables in Offerors response, are Offerors allowed to provide their response not within a table cell, but outside of the table, as long as the RFP table or table row precede the response?</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 Yes</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B. Yes, the Offeror must provide the requirement reference number as part of their response.</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Requirements</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#4</w:t>
            </w:r>
          </w:p>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14</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spacing w:before="60" w:after="60"/>
              <w:ind w:left="0"/>
              <w:rPr>
                <w:rFonts w:ascii="Times New Roman" w:hAnsi="Times New Roman"/>
                <w:color w:val="000000" w:themeColor="text1"/>
                <w:sz w:val="18"/>
                <w:szCs w:val="18"/>
              </w:rPr>
            </w:pPr>
            <w:r w:rsidRPr="001A443A">
              <w:rPr>
                <w:rFonts w:ascii="Times New Roman" w:hAnsi="Times New Roman"/>
                <w:color w:val="000000" w:themeColor="text1"/>
                <w:sz w:val="18"/>
                <w:szCs w:val="18"/>
              </w:rPr>
              <w:t>The Request for Proposal requires the data center proposed to have 99.99% availability over the 6 months prior to December 2011.  The award and transition will occur in approximately June of 2013.  This creates a platform that is a minimum of 2 years old.  This requirement eliminates the opportunity to transition to efficient infrastructure.  Will the Commonwealth eliminate this time requirement in order to avail itself of newer, more efficient infrastructure?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adjusts this requirement to:</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Request for Proposal requires the data center proposed to have 99.99% availability over the 6 months prior to December 2012.</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procuring managed computing services not a datacenter.  Therefore the Commonwealth is not dictating the age or efficiency of the Offeror’s infrastructure as long as the Commonwealth’s service requirement and SLA's are met.</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#6</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14</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The schedule states, “Each Data Center will have the capability to provide DR for the other, for the identified critical applications.”  What level of capability must be included at each data center?</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level of capability will be determined by application and ordered with the desired DR service capability.  For each application with DR, there must be another Datacenter with the infrastructure to support the DR service.  </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27</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Does the Commonwealth have a current Chargeback backup implementation?  If so, what is the product?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Currently the Commonwealth uses several chargeback processes.  The intent of this procurement is to centralize these into a single product.  The current methods use the Microsoft Excel, paper, and the Commonwealth’s ESMS system.</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3.2.1.1.1</w:t>
            </w:r>
          </w:p>
        </w:tc>
        <w:tc>
          <w:tcPr>
            <w:tcW w:w="1105" w:type="dxa"/>
            <w:gridSpan w:val="3"/>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Page 27</w:t>
            </w: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How many agencies require chargeback invoices?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Commonwealth agencies using the services must receive an invoice.</w:t>
            </w:r>
          </w:p>
        </w:tc>
      </w:tr>
      <w:tr w:rsidR="00961AA2" w:rsidRPr="004F6F86" w:rsidTr="00B3699F">
        <w:trPr>
          <w:cantSplit/>
        </w:trPr>
        <w:tc>
          <w:tcPr>
            <w:tcW w:w="990" w:type="dxa"/>
            <w:gridSpan w:val="4"/>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3.2.1.1.1</w:t>
            </w:r>
          </w:p>
        </w:tc>
        <w:tc>
          <w:tcPr>
            <w:tcW w:w="1105" w:type="dxa"/>
            <w:gridSpan w:val="3"/>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Page 27</w:t>
            </w: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Please describe the level of granularity required for chargeback capability.</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Each invoice item must provide the following:</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Agency name</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Service Name</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Service Identifier (i.e. Product number)</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Unit Price</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Quantity</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GL Account Number </w:t>
            </w:r>
            <w:r w:rsidRPr="001A443A">
              <w:rPr>
                <w:rFonts w:ascii="Times New Roman" w:hAnsi="Times New Roman"/>
                <w:color w:val="000000" w:themeColor="text1"/>
                <w:sz w:val="18"/>
                <w:szCs w:val="18"/>
              </w:rPr>
              <w:br/>
              <w:t>(7 digits)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Department Number </w:t>
            </w:r>
            <w:r w:rsidRPr="001A443A">
              <w:rPr>
                <w:rFonts w:ascii="Times New Roman" w:hAnsi="Times New Roman"/>
                <w:color w:val="000000" w:themeColor="text1"/>
                <w:sz w:val="18"/>
                <w:szCs w:val="18"/>
              </w:rPr>
              <w:br/>
              <w:t>(4 alphanumeric characters)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Reporting Level</w:t>
            </w:r>
            <w:r w:rsidRPr="001A443A">
              <w:rPr>
                <w:rFonts w:ascii="Times New Roman" w:hAnsi="Times New Roman"/>
                <w:color w:val="000000" w:themeColor="text1"/>
                <w:sz w:val="18"/>
                <w:szCs w:val="18"/>
              </w:rPr>
              <w:br/>
              <w:t>(4 digits)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Sub-account number </w:t>
            </w:r>
            <w:r w:rsidRPr="001A443A">
              <w:rPr>
                <w:rFonts w:ascii="Times New Roman" w:hAnsi="Times New Roman"/>
                <w:color w:val="000000" w:themeColor="text1"/>
                <w:sz w:val="18"/>
                <w:szCs w:val="18"/>
              </w:rPr>
              <w:br/>
              <w:t>(4 digits)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SAP Fund number </w:t>
            </w:r>
            <w:r w:rsidRPr="001A443A">
              <w:rPr>
                <w:rFonts w:ascii="Times New Roman" w:hAnsi="Times New Roman"/>
                <w:color w:val="000000" w:themeColor="text1"/>
                <w:sz w:val="18"/>
                <w:szCs w:val="18"/>
              </w:rPr>
              <w:br/>
              <w:t>(10 digits)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Cost Center number </w:t>
            </w:r>
            <w:r w:rsidRPr="001A443A">
              <w:rPr>
                <w:rFonts w:ascii="Times New Roman" w:hAnsi="Times New Roman"/>
                <w:color w:val="000000" w:themeColor="text1"/>
                <w:sz w:val="18"/>
                <w:szCs w:val="18"/>
              </w:rPr>
              <w:br/>
              <w:t>(10 Digits)</w:t>
            </w:r>
          </w:p>
          <w:p w:rsidR="00961AA2" w:rsidRPr="001A443A" w:rsidRDefault="00961AA2" w:rsidP="00B3699F">
            <w:pPr>
              <w:pStyle w:val="NoSpacing"/>
              <w:numPr>
                <w:ilvl w:val="0"/>
                <w:numId w:val="19"/>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Percent Allocation </w:t>
            </w:r>
            <w:r w:rsidRPr="001A443A">
              <w:rPr>
                <w:rFonts w:ascii="Times New Roman" w:hAnsi="Times New Roman"/>
                <w:color w:val="000000" w:themeColor="text1"/>
                <w:sz w:val="18"/>
                <w:szCs w:val="18"/>
              </w:rPr>
              <w:br/>
              <w:t>(percentage)</w:t>
            </w:r>
            <w:r w:rsidRPr="001A443A">
              <w:rPr>
                <w:rFonts w:ascii="Times New Roman" w:hAnsi="Times New Roman"/>
                <w:color w:val="000000" w:themeColor="text1"/>
                <w:sz w:val="18"/>
                <w:szCs w:val="18"/>
              </w:rPr>
              <w:br/>
            </w:r>
            <w:r w:rsidRPr="001A443A">
              <w:rPr>
                <w:rFonts w:ascii="Times New Roman" w:hAnsi="Times New Roman"/>
                <w:i/>
                <w:color w:val="000000" w:themeColor="text1"/>
                <w:sz w:val="18"/>
                <w:szCs w:val="18"/>
              </w:rPr>
              <w:t>(the percent allocation is used if an invoice item is paid across differing Cost Centers.)</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3.2.1.5.1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An estimated 36 month usable life is defined to support a technology refresh.  Many data center technologies, such as Storage and Network hardware, have a longer typical life cycle than 36 months.  Should the Offeror limit all components to the 36 months or manufacturer's service life?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 should use its best judgment on the service life of its infrastructure.  The Commonwealth is purchasing services that have associated SLA's and the selected Offeror must provide the services within those SLAs.</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3.2.1.5.1 Requirement 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What is the frequency in which the service catalog is required to be refreshed? (i.e. annually, semi-annually, etc?)</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Service Catalog (the total list of services being offered to the Commonwealth) should always remain current and should be refreshed with every change.</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8</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the event a Commonwealth agency doesn't receive Offeror DR services, does their application still need to be replicated between datacenters?</w:t>
            </w:r>
            <w:r w:rsidRPr="001A443A">
              <w:rPr>
                <w:color w:val="000000" w:themeColor="text1"/>
                <w:sz w:val="18"/>
                <w:szCs w:val="18"/>
              </w:rPr>
              <w:br/>
            </w:r>
            <w:r w:rsidRPr="001A443A">
              <w:rPr>
                <w:color w:val="000000" w:themeColor="text1"/>
                <w:sz w:val="18"/>
                <w:szCs w:val="18"/>
              </w:rPr>
              <w:br/>
              <w:t>Page reference:</w:t>
            </w:r>
            <w:r w:rsidRPr="001A443A">
              <w:rPr>
                <w:color w:val="000000" w:themeColor="text1"/>
                <w:sz w:val="18"/>
                <w:szCs w:val="18"/>
              </w:rPr>
              <w:br/>
              <w:t>“The Offeror is expected to implement a multi DR solution to limit the impact of any disruptive event at any datacenter location.  This requirement is targeted for all systems that are currently covered by a DR solution.“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8</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Will the Commonwealth allow multiple connections to the Internet including those at EDC?  Will the EDC connections to the Internet be decommissioned?</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multiple connections are desired.</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current internet connection will not be disconnected.</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p w:rsidR="00961AA2" w:rsidRPr="001A443A" w:rsidRDefault="00961AA2" w:rsidP="00B3699F">
            <w:pPr>
              <w:spacing w:before="60" w:after="60"/>
              <w:rPr>
                <w:color w:val="000000" w:themeColor="text1"/>
                <w:sz w:val="18"/>
                <w:szCs w:val="18"/>
              </w:rPr>
            </w:pPr>
            <w:r w:rsidRPr="001A443A">
              <w:rPr>
                <w:color w:val="000000" w:themeColor="text1"/>
                <w:sz w:val="18"/>
                <w:szCs w:val="18"/>
              </w:rPr>
              <w:t xml:space="preserve"> -</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3.3.2.2 &amp; 3.2.2.5 &amp; 3.2.1.1.2 &amp; 3.2.3.1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152-153, 76-78, 30 &amp; 87</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We understand that the Commonwealth has EMC-RSA Archer tool licenses managing security compliance information. Can the Offeror leverage the Commonwealth’s RSA Archer licenses and existing infrastructure to help track, monitor and maintain the datacenter security compliance?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Commonwealth does have the EMC-RSA Archer tool licenses; however, the vendor must have its own instance that has the ability to connect to or feed into the enterprise system, as needed.</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3.2.4.1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94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Currently, EDC provides application support in Managed Services. Are these services in scope of Offeror's responsibility?</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3.2.4.1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94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Is the Offeror expected to provide hardware load balancing capabilities for the web applications?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3.2.1.1.2-2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30</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As this relates to Transition, will design approval be needed for each of the 2000+ applications that need to be migrated to a new datacenter?   How long will the Commonwealth need to provide such approval?</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design approval is required.</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time needed to approve these designs will be based on the complexity of the transition.  The approval timeframes will be established as part of the Transition Plan.</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30</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many cases, the Commonwealth RFPs for application development projects request proposers to specify computing infrastructure requirements.  How will the Commonwealth insure that future procurements for development services align to the datacenter architecture requested in this RFP?</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is an internal Commonwealth management issue and will be resolved internally.</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39</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Bullet number five states that an incident report must be completed within two days of the incident and the RCA within five days of the incident. What if the incident remains unresolved after two days? Would it be acceptable to submit an incident report within two days of the incident resolution, and the RCA within five days of incident resolution?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referenced reports must be delivered within the stated interval, and for those that are not resolved, the report must contain an action plan that is to be followed until the situation is resolved to the Commonwealth’s satisfaction.</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39</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What is the definition of a “major outage”?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Each service may have a unique definition but the Commonwealth views a major outage in general, as an outage where all or a substantial portion of a service is not functionally usable.</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3.2.2.2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64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Does the Commonwealth currently have a way to measure established performance baselines of its applications prior to transition?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determining these measurements at this time and will provide the measurements to the selected Offeror as part of transition planning.</w:t>
            </w:r>
          </w:p>
        </w:tc>
      </w:tr>
      <w:tr w:rsidR="00961AA2" w:rsidRPr="004F6F86" w:rsidTr="00B3699F">
        <w:trPr>
          <w:cantSplit/>
        </w:trPr>
        <w:tc>
          <w:tcPr>
            <w:tcW w:w="990"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3.2.2.2-6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66</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As it relates Acceptance Test Plans – Is the Commonwealth developing and benchmarking existing applications for comparison purposes and to insure that such testing works in the current environment?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determining these measurements at this time and will be provided to the selected Offeror as part of transition planning.</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3.1.2</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16</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Please confirm that the Offeror can procure telecomm circuits from their vendor of choice if it provides the greatest economical value to the Commonwealth.</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Confirmed.  T he Offeror can procure telecom services from a company of the Offeror’s choice.</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3.1.2</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17</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Does the provisioning of private carrier network connections between datacenters satisfy the requirement for "secure connections"  Is there a requirement to encrypt all network traffic between datacenters even if data is traversing over private WAN connections?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Yes. A private carrier network connection does satisfy the requirement for a secure connection.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Not all data must be encrypted.  The Offeror must follow the policies and requirements set forth by the Commonwealth relating to data security.</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153-154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Are your requirements for a security plan met by NIST 800-18’s requirements for a system security plan with addendums for Commonwealth additional requirements; along with security activities defined as part of the overall project plan we develop?</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152-153</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Are your specific training requirements met by NIST SPs 800-16 and 800-50?</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Requirement 1 references a penetration test.  Do you conduct the penetration test in a hard or soft manner using non-operational data?</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Both as appropriate.</w:t>
            </w: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3.3.2 Transition Planning / Governance</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142-145</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Which agencies can the Offeror transition before Month 30, so that all agencies don't have to be transitioned in parallel?  Are there any limitations to transitioning any agencies before Month 30?</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requires all transitions to be completed no later than the end of Month 30.  There is no requirement that all transitions occur during Month 30.  Offeror is to provide a proposed transition schedule to meet the requirement.</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144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While it is clear that DPH operations support will be assumed by the Offeror once the workloads are successfully moved to the new provider's data center environment, it is unclear within the agency data centers at what point that the Offeror should plan to provide operational support for the agency data centers. Should the Offeror provide support starting on day one of the contract in the agency data centers or at a time when the systems are transition to the new data center?</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Agencies will maintain operational support of their datacenters until the applications are transitioned to the Offeror’s datacenters.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42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 xml:space="preserve">(4) Refer: "Establish scheduled maintenance periods, and communicate the scheduled outages.  Create a notification process for maintenance, emergency, and unplanned outages. " </w:t>
            </w:r>
            <w:r w:rsidRPr="001A443A">
              <w:rPr>
                <w:color w:val="000000" w:themeColor="text1"/>
                <w:sz w:val="18"/>
                <w:szCs w:val="18"/>
              </w:rPr>
              <w:br/>
            </w:r>
            <w:r w:rsidRPr="001A443A">
              <w:rPr>
                <w:color w:val="000000" w:themeColor="text1"/>
                <w:sz w:val="18"/>
                <w:szCs w:val="18"/>
              </w:rPr>
              <w:br/>
              <w:t>Confirm that the Offeror must comply with Enterprise Scheduled Maintenance Windows per ITB-NET015 (Enterprise Network Maintenance Scheduling) for maintenances affecting multiple agencies.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selected Offeror must comply with Enterprise scheduled Maintenance Windows per ITB-NET015. The selected Offeror will be required to comply with all ITBs must be followed.</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2.3.3</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9</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What are the requirements for facilities management at the five (5) COPA datacenters?</w:t>
            </w:r>
            <w:r w:rsidRPr="001A443A">
              <w:rPr>
                <w:color w:val="000000" w:themeColor="text1"/>
                <w:sz w:val="18"/>
                <w:szCs w:val="18"/>
              </w:rPr>
              <w:br/>
              <w:t>Should vendors assume that DGS/Commonwealth continues to provide support until transition is completed?</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the Commonwealth will continue to maintain and manage the Commonwealth datacenters until the transitions are completed.  With the exception of the EDC, the Offeror will have no responsibilities for those datacenters.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3.2.1.4 Service Desk</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44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paragraph 4 it states that Offeror must provide electronic connection to all of the Agency Help Desks.  Please provide a table showing agencies that are not connected to the Enterprise system, which also shows what help desk systems these Agencies use.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 is only responsible to connect to the OA’s Enterprise Remedy.</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44</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Who will be entitled to contact the Service Desk?</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All Commonwealth Helpdesks, all Commonwealth Application Owners, and all Commonwealth IT Management (both OA and the Agencies) are entitled to contract the Offeror’s Service Desk.  </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Commonwealth End Users are not to contract the Offeror’s helpdesk.</w:t>
            </w:r>
          </w:p>
        </w:tc>
      </w:tr>
      <w:tr w:rsidR="00961AA2" w:rsidRPr="004F6F86" w:rsidTr="00B3699F">
        <w:trPr>
          <w:cantSplit/>
          <w:trHeight w:val="1835"/>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45</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In requirement #3 on page 45 please provide clarification:  It is stated again that integration with the Enterprise Remedy system and other Agency Help Desks as required.  But the last sentence states that integration with other agency ITSM systems is NOT required. Please clarify.</w:t>
            </w:r>
            <w:r w:rsidRPr="001A443A">
              <w:rPr>
                <w:color w:val="000000" w:themeColor="text1"/>
                <w:sz w:val="18"/>
                <w:szCs w:val="18"/>
              </w:rPr>
              <w:br/>
              <w:t xml:space="preserve">If it is required, this section describes a requirement to develop a process and electronic connection to “these agency Help Desks”.  </w:t>
            </w:r>
            <w:r w:rsidRPr="001A443A">
              <w:rPr>
                <w:color w:val="000000" w:themeColor="text1"/>
                <w:sz w:val="18"/>
                <w:szCs w:val="18"/>
              </w:rPr>
              <w:br/>
              <w:t>Other than the agencies using the Commonwealth’s Enterprise Remedy System, please provide a list of all other agencies that have a requirement for an electronic connection and please provide the details on the type and brand of help desk software being used by those agencies.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has several implementation of BMC’s Remedy system.  The Offeror will interface only with the Enterprise Remedy managed by the Office of Administration. All other Commonwealth Remedy instances will interface with the Enterprise Remedy to escalate incidents and requests to the Offeror.</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2.3.4</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10</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For PII have you conducted a Privacy Threshold Analysis (PTA) or Privacy Impact Assessment (PIA) and is it acceptable to follow Federal guidelines such as FISMA to address this?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 No.   2) Yes.</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2.3.4(2)</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11</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To what categories of service do DBFW services apply?</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DBFW services apply to databases that are considered high risk by the Commonwealth’s application owners and CISO.</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3.2.4.4</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112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Item number three references the Service Management Manual. Is this the same as the Commonwealth Computing Procedures Manual?</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“Service Management Manual” should read “Commonwealth Computing Procedure Manual.”</w:t>
            </w: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3.2.4</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94</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Currently, the Commonwealth has Hyper-v for this section in Managed Hosting.  Is it a requirement for Managed Hosting to support Hyper-V, or can the Offeror move the application to a different Hypervisor?  </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Throughout this RFP, it is implied the Offeror has discretion on the Architecture.  Is Hyper-V a requirement for MH and/or Public/Private Cloud?</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Hyper-V is not a requirement for MH and/or Public/Private Cloud.  The services provided by the Offeror must be able, however, to support the applications that currently operate on Hyper-V.  </w:t>
            </w: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Exhibit J.2</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3.2.4&amp;5</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133</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Regarding IaaS and Managed Hosting, there is no mention of certification requirements, nor specific references in Exhibit J.  How import are the following certification for the cloud provider (please rank Critical, Important, Optional:  SSAE 16 Audited for SOC1, SOC2, SOC3,  PCI Compliant Level 1 Service Provider underlying infrastructure and facilities, and IS0 27001,Information Security Management Systems Certification and Safe Harbor)</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must meet the certification requirements set forth in the RFP.</w:t>
            </w: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3.2.2.5 Security Management</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76</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For the penetration testing, how many IP addresses are in scope?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What types of penetration testing (social engineering, wireless assessment, application, etc.) does the Commonwealth seek?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 For vulnerability analyses, is that considered the same as vulnerability scanning by the Commonwealth?</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of the Commonwealth’s IP addresses are in scope.</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 All types.</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3.2.2.5</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76</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Item 1 references a security management plan. Are your requirements for this met by NIST 800-18's requirements for a system security plan with addendums for Commonwealth additional requirements; along with security activities defined as part of the overall project plan we develop?</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3.2.2.5-6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78</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What form of second factor access control exists today in the EDC?</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Client certificates/tokens.</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p w:rsidR="00961AA2" w:rsidRPr="001A443A" w:rsidRDefault="00961AA2" w:rsidP="00B3699F">
            <w:pPr>
              <w:spacing w:before="60" w:after="60"/>
              <w:rPr>
                <w:color w:val="000000" w:themeColor="text1"/>
                <w:sz w:val="18"/>
                <w:szCs w:val="18"/>
              </w:rPr>
            </w:pPr>
            <w:r w:rsidRPr="001A443A">
              <w:rPr>
                <w:color w:val="000000" w:themeColor="text1"/>
                <w:sz w:val="18"/>
                <w:szCs w:val="18"/>
              </w:rPr>
              <w:t xml:space="preserve"> -</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3.3.2.2 &amp; 3.2.2.5</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152 &amp; 77</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We understand that the Commonwealth has licenses for security vulnerability assessment (both application and infrastructure) and secure code review tools.</w:t>
            </w:r>
            <w:r w:rsidRPr="001A443A">
              <w:rPr>
                <w:color w:val="000000" w:themeColor="text1"/>
                <w:sz w:val="18"/>
                <w:szCs w:val="18"/>
              </w:rPr>
              <w:br/>
              <w:t xml:space="preserve">     A.     Can the Offeror leverage the Commonwealth licenses for security vulnerability assessment and secure code review tools?</w:t>
            </w:r>
            <w:r w:rsidRPr="001A443A">
              <w:rPr>
                <w:color w:val="000000" w:themeColor="text1"/>
                <w:sz w:val="18"/>
                <w:szCs w:val="18"/>
              </w:rPr>
              <w:br/>
              <w:t xml:space="preserve">     B.     If yes, please provide the list of their licensed security tools for:</w:t>
            </w:r>
            <w:r w:rsidRPr="001A443A">
              <w:rPr>
                <w:color w:val="000000" w:themeColor="text1"/>
                <w:sz w:val="18"/>
                <w:szCs w:val="18"/>
              </w:rPr>
              <w:br/>
              <w:t xml:space="preserve">          a.      Application security vulnerability testing.</w:t>
            </w:r>
            <w:r w:rsidRPr="001A443A">
              <w:rPr>
                <w:color w:val="000000" w:themeColor="text1"/>
                <w:sz w:val="18"/>
                <w:szCs w:val="18"/>
              </w:rPr>
              <w:br/>
              <w:t xml:space="preserve">          b.      Infrastructure security vulnerability testing.</w:t>
            </w:r>
            <w:r w:rsidRPr="001A443A">
              <w:rPr>
                <w:color w:val="000000" w:themeColor="text1"/>
                <w:sz w:val="18"/>
                <w:szCs w:val="18"/>
              </w:rPr>
              <w:br/>
              <w:t xml:space="preserve">          c.       Secure code review.</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numPr>
                <w:ilvl w:val="0"/>
                <w:numId w:val="28"/>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p w:rsidR="00961AA2" w:rsidRPr="001A443A" w:rsidRDefault="00961AA2" w:rsidP="00B3699F">
            <w:pPr>
              <w:pStyle w:val="NoSpacing"/>
              <w:numPr>
                <w:ilvl w:val="0"/>
                <w:numId w:val="28"/>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N/A</w:t>
            </w: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3.2.5 Capacity on Demand Services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133-141</w:t>
            </w:r>
          </w:p>
        </w:tc>
        <w:tc>
          <w:tcPr>
            <w:tcW w:w="7372" w:type="dxa"/>
            <w:shd w:val="clear" w:color="auto" w:fill="auto"/>
          </w:tcPr>
          <w:p w:rsidR="00961AA2" w:rsidRPr="001A443A" w:rsidRDefault="00961AA2" w:rsidP="00B3699F">
            <w:pPr>
              <w:pStyle w:val="BulletListMultiple"/>
              <w:numPr>
                <w:ilvl w:val="0"/>
                <w:numId w:val="41"/>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Does CoPA have difficulty managing peaks and valleys in demand and workload in their test / dev environments?</w:t>
            </w:r>
          </w:p>
          <w:p w:rsidR="00961AA2" w:rsidRPr="001A443A" w:rsidRDefault="00961AA2" w:rsidP="00B3699F">
            <w:pPr>
              <w:pStyle w:val="BulletListMultiple"/>
              <w:numPr>
                <w:ilvl w:val="0"/>
                <w:numId w:val="41"/>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MS Exchange as a service considered in or out of scope?</w:t>
            </w:r>
          </w:p>
          <w:p w:rsidR="00961AA2" w:rsidRPr="001A443A" w:rsidRDefault="00961AA2" w:rsidP="00B3699F">
            <w:pPr>
              <w:pStyle w:val="bulletlistmultiplecxspmiddlecxspmiddle"/>
              <w:numPr>
                <w:ilvl w:val="0"/>
                <w:numId w:val="41"/>
              </w:numPr>
              <w:spacing w:before="60" w:beforeAutospacing="0" w:after="60" w:afterAutospacing="0"/>
              <w:ind w:left="409"/>
              <w:rPr>
                <w:color w:val="000000" w:themeColor="text1"/>
                <w:sz w:val="18"/>
                <w:szCs w:val="18"/>
              </w:rPr>
            </w:pPr>
            <w:r w:rsidRPr="001A443A">
              <w:rPr>
                <w:color w:val="000000" w:themeColor="text1"/>
                <w:sz w:val="18"/>
                <w:szCs w:val="18"/>
              </w:rPr>
              <w:t>Can GR resources be utilized for back office functions in our delivery model?</w:t>
            </w:r>
          </w:p>
          <w:p w:rsidR="00961AA2" w:rsidRPr="001A443A" w:rsidRDefault="00961AA2" w:rsidP="00B3699F">
            <w:pPr>
              <w:pStyle w:val="bulletlistmultiplecxspmiddlecxspmiddlecxspmiddle"/>
              <w:numPr>
                <w:ilvl w:val="0"/>
                <w:numId w:val="41"/>
              </w:numPr>
              <w:spacing w:before="60" w:beforeAutospacing="0" w:after="60" w:afterAutospacing="0"/>
              <w:ind w:left="409"/>
              <w:rPr>
                <w:color w:val="000000" w:themeColor="text1"/>
                <w:sz w:val="18"/>
                <w:szCs w:val="18"/>
              </w:rPr>
            </w:pPr>
            <w:r w:rsidRPr="001A443A">
              <w:rPr>
                <w:color w:val="000000" w:themeColor="text1"/>
                <w:sz w:val="18"/>
                <w:szCs w:val="18"/>
              </w:rPr>
              <w:t>Is CoPA willing to relinquish architectural control in a capacity on demand environment?</w:t>
            </w:r>
          </w:p>
          <w:p w:rsidR="00961AA2" w:rsidRPr="001A443A" w:rsidRDefault="00961AA2" w:rsidP="00B3699F">
            <w:pPr>
              <w:pStyle w:val="bulletlistmultiplecxspmiddlecxspmiddlecxspmiddle"/>
              <w:numPr>
                <w:ilvl w:val="0"/>
                <w:numId w:val="41"/>
              </w:numPr>
              <w:spacing w:before="60" w:beforeAutospacing="0" w:after="60" w:afterAutospacing="0"/>
              <w:ind w:left="409"/>
              <w:rPr>
                <w:color w:val="000000" w:themeColor="text1"/>
                <w:sz w:val="18"/>
                <w:szCs w:val="18"/>
              </w:rPr>
            </w:pPr>
            <w:r w:rsidRPr="001A443A">
              <w:rPr>
                <w:color w:val="000000" w:themeColor="text1"/>
                <w:sz w:val="18"/>
                <w:szCs w:val="18"/>
              </w:rPr>
              <w:t>Is the target for Image Activation in a capacity on demand environment under 24 hours?</w:t>
            </w:r>
          </w:p>
          <w:p w:rsidR="00961AA2" w:rsidRPr="001A443A" w:rsidRDefault="00961AA2" w:rsidP="00B3699F">
            <w:pPr>
              <w:pStyle w:val="bulletlistmultiplecxspmiddlecxspmiddlecxspmiddle"/>
              <w:numPr>
                <w:ilvl w:val="0"/>
                <w:numId w:val="41"/>
              </w:numPr>
              <w:spacing w:before="60" w:beforeAutospacing="0" w:after="60" w:afterAutospacing="0"/>
              <w:ind w:left="409"/>
              <w:rPr>
                <w:color w:val="000000" w:themeColor="text1"/>
                <w:sz w:val="18"/>
                <w:szCs w:val="18"/>
              </w:rPr>
            </w:pPr>
            <w:r w:rsidRPr="001A443A">
              <w:rPr>
                <w:color w:val="000000" w:themeColor="text1"/>
                <w:sz w:val="18"/>
                <w:szCs w:val="18"/>
              </w:rPr>
              <w:t>Is CoPA willing to sign up for a minimum baseline?</w:t>
            </w:r>
          </w:p>
          <w:p w:rsidR="00961AA2" w:rsidRPr="001A443A" w:rsidRDefault="00961AA2" w:rsidP="00B3699F">
            <w:pPr>
              <w:pStyle w:val="bulletlistmultiplecxspmiddlecxspmiddle"/>
              <w:numPr>
                <w:ilvl w:val="0"/>
                <w:numId w:val="41"/>
              </w:numPr>
              <w:spacing w:before="60" w:beforeAutospacing="0" w:after="60" w:afterAutospacing="0"/>
              <w:ind w:left="409"/>
              <w:rPr>
                <w:color w:val="000000" w:themeColor="text1"/>
                <w:sz w:val="18"/>
                <w:szCs w:val="18"/>
              </w:rPr>
            </w:pPr>
            <w:r w:rsidRPr="001A443A">
              <w:rPr>
                <w:color w:val="000000" w:themeColor="text1"/>
                <w:sz w:val="18"/>
                <w:szCs w:val="18"/>
              </w:rPr>
              <w:t>Is CoPA flexible to change its standardized service request process?</w:t>
            </w:r>
          </w:p>
          <w:p w:rsidR="00961AA2" w:rsidRPr="001A443A" w:rsidRDefault="00961AA2" w:rsidP="00B3699F">
            <w:pPr>
              <w:pStyle w:val="BulletListMultiple"/>
              <w:numPr>
                <w:ilvl w:val="0"/>
                <w:numId w:val="41"/>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CoPA comfortable with the Agencies documenting requirements, but the Offeror defining the technology and service solution against those requirements to optimize across the Data Center?</w:t>
            </w:r>
          </w:p>
          <w:p w:rsidR="00961AA2" w:rsidRPr="001A443A" w:rsidRDefault="00961AA2" w:rsidP="00B3699F">
            <w:pPr>
              <w:pStyle w:val="BulletListMultiple"/>
              <w:numPr>
                <w:ilvl w:val="0"/>
                <w:numId w:val="41"/>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CoPA willing to relinquish control over outage windows and when/ how images are patched for their capacity on demand?</w:t>
            </w:r>
          </w:p>
        </w:tc>
        <w:tc>
          <w:tcPr>
            <w:tcW w:w="6030" w:type="dxa"/>
            <w:shd w:val="clear" w:color="auto" w:fill="auto"/>
          </w:tcPr>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p w:rsidR="00961AA2" w:rsidRPr="00F46CA1" w:rsidRDefault="004229EA" w:rsidP="00B3699F">
            <w:pPr>
              <w:pStyle w:val="NoSpacing"/>
              <w:numPr>
                <w:ilvl w:val="0"/>
                <w:numId w:val="23"/>
              </w:numPr>
              <w:tabs>
                <w:tab w:val="center" w:pos="4680"/>
                <w:tab w:val="right" w:pos="9360"/>
              </w:tabs>
              <w:spacing w:before="60" w:after="60"/>
              <w:ind w:left="342"/>
              <w:rPr>
                <w:rFonts w:ascii="Times New Roman" w:hAnsi="Times New Roman"/>
                <w:strike/>
                <w:color w:val="FF0000"/>
                <w:sz w:val="18"/>
                <w:szCs w:val="18"/>
              </w:rPr>
            </w:pPr>
            <w:r w:rsidRPr="004229EA">
              <w:rPr>
                <w:rFonts w:ascii="Times New Roman" w:hAnsi="Times New Roman"/>
                <w:strike/>
                <w:color w:val="FF0000"/>
                <w:sz w:val="18"/>
                <w:szCs w:val="18"/>
              </w:rPr>
              <w:t>In scope.</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Please define “GR resources.”</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No.  The Offeror must propose an architecture and the Commonwealth then will approve or disapprove before implementation.</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Yes, the Commonwealth is, however, always looking for the ability to deliver services in a shorter interval.  </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No.  The Offeror must propose an architecture and the Commonwealth then will approve or disapprove before implementation.</w:t>
            </w:r>
          </w:p>
          <w:p w:rsidR="00961AA2" w:rsidRPr="001A443A" w:rsidRDefault="00961AA2" w:rsidP="00B3699F">
            <w:pPr>
              <w:pStyle w:val="NoSpacing"/>
              <w:numPr>
                <w:ilvl w:val="0"/>
                <w:numId w:val="23"/>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36</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This section refers to performing a customer satisfaction survey on a quarterly basis. How does the survey differ from the annual survey discussed in appendix A section 10 (c)?</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Section 3.2.1.1.6 of Schedule F is specific to the Service Desk and the Offeror must perform quarterly quality surveys of the Service Desk.  Appendix A section 10 (c) refers to the entire scope of Service provided by the Offeror.</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56</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Item number one indicates that the Offeror must assign a minimum of six dedicated account managers. Key Personnel noted in schedule G that five agency account managers are required. Which is correct?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Five are required as a minimum, but the Offeror may provide as many as are needed.</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3.2.2.6 Requirement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82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Where an agency will have additional agency-based monitoring tools, will the agency/Commonwealth and vendor mutually agree on a joint responsibility matrix prior to the service addition?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Monitoring tools does not mean that the Commonwealth will manage (and troubleshoot) any infrastructure under the Offeror’s control.  It only means that the Commonwealth wants visibility into that infrastructure.  </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With that in mind, a responsibility matrix should be developed.</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3.2.4.6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123</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Item 2 references security training. Are your specific requirements met by NIST SPs 800-16 and 800-50?</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3.2.4.8</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131</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Should it be assumed that Co-location Service Option 1 will only be used by current customers of the EDC, and that availability of these services will terminate after all work is migrated to the managed service offering?</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Commonwealth expects to have requirements for co-location into the foreseeable future.</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2.1, 2.3</w:t>
            </w:r>
          </w:p>
        </w:tc>
        <w:tc>
          <w:tcPr>
            <w:tcW w:w="1105" w:type="dxa"/>
            <w:gridSpan w:val="3"/>
            <w:shd w:val="clear" w:color="auto" w:fill="auto"/>
          </w:tcPr>
          <w:p w:rsidR="00961AA2" w:rsidRPr="001A443A" w:rsidRDefault="00961AA2" w:rsidP="00B3699F">
            <w:pPr>
              <w:pStyle w:val="NoSpacing"/>
              <w:tabs>
                <w:tab w:val="left" w:pos="576"/>
                <w:tab w:val="center" w:pos="701"/>
              </w:tabs>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6,7</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Section 2.1 indicates “</w:t>
            </w:r>
            <w:r w:rsidRPr="001A443A">
              <w:rPr>
                <w:rFonts w:ascii="Times New Roman" w:hAnsi="Times New Roman"/>
                <w:i/>
                <w:color w:val="000000" w:themeColor="text1"/>
                <w:sz w:val="18"/>
                <w:szCs w:val="18"/>
              </w:rPr>
              <w:t>The Offeror must utilize the EDC as one of its datacenters and propose a minimum of one additional datacenter to meet the 2+ architecture requirement”</w:t>
            </w:r>
            <w:r w:rsidRPr="001A443A">
              <w:rPr>
                <w:rFonts w:ascii="Times New Roman" w:hAnsi="Times New Roman"/>
                <w:color w:val="000000" w:themeColor="text1"/>
                <w:sz w:val="18"/>
                <w:szCs w:val="18"/>
              </w:rPr>
              <w:t xml:space="preserve"> yet in Section 2.3, it indicates that</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i/>
                <w:color w:val="000000" w:themeColor="text1"/>
                <w:sz w:val="18"/>
                <w:szCs w:val="18"/>
              </w:rPr>
              <w:t>Target Datacenter 2: Architecture</w:t>
            </w:r>
            <w:r w:rsidRPr="001A443A">
              <w:rPr>
                <w:rFonts w:ascii="Times New Roman" w:hAnsi="Times New Roman"/>
                <w:color w:val="000000" w:themeColor="text1"/>
                <w:sz w:val="18"/>
                <w:szCs w:val="18"/>
              </w:rPr>
              <w:t xml:space="preserve"> indicates the EDC only needs to be included as operations support.</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One could interpret these two statements as conflicting.  Does the EDC need to be included as part of the overarching technology and data center strategy, or is it only required to do ongoing maintenance of the facility and is optional to be included in the new technology direction?</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 selected Offeror must assume operational support of the EDC as part of transition and may use the EDC as it sees fit (within the terms of the RFP) to provide services to the Commonwealth.  </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Will the Commonwealth be establishing a corresponding architectural oversight team or process?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2.1</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6</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t>
            </w:r>
            <w:r w:rsidRPr="001A443A">
              <w:rPr>
                <w:rFonts w:ascii="Times New Roman" w:hAnsi="Times New Roman"/>
                <w:i/>
                <w:color w:val="000000" w:themeColor="text1"/>
                <w:sz w:val="18"/>
                <w:szCs w:val="18"/>
              </w:rPr>
              <w:t>Applications hosted in the Offeror’s datacenters must meet Quality of Service (QoS) requirements as determined by the Commonwealth agency application owners</w:t>
            </w:r>
            <w:r w:rsidRPr="001A443A">
              <w:rPr>
                <w:rFonts w:ascii="Times New Roman" w:hAnsi="Times New Roman"/>
                <w:color w:val="000000" w:themeColor="text1"/>
                <w:sz w:val="18"/>
                <w:szCs w:val="18"/>
              </w:rPr>
              <w:t>. “</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are the current QoS Requirements of the Agencies?  How can the Commonwealth ensure unreasonable demands are not an Offeror’s responsibility?</w:t>
            </w:r>
          </w:p>
        </w:tc>
        <w:tc>
          <w:tcPr>
            <w:tcW w:w="6030" w:type="dxa"/>
            <w:shd w:val="clear" w:color="auto" w:fill="auto"/>
          </w:tcPr>
          <w:p w:rsidR="00961AA2" w:rsidRPr="001A443A" w:rsidRDefault="00961AA2" w:rsidP="00B3699F">
            <w:pPr>
              <w:pStyle w:val="NoSpacing"/>
              <w:numPr>
                <w:ilvl w:val="0"/>
                <w:numId w:val="16"/>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QoS requirements are set on a per application/service basis.</w:t>
            </w:r>
          </w:p>
          <w:p w:rsidR="00961AA2" w:rsidRPr="001A443A" w:rsidRDefault="00961AA2" w:rsidP="00B3699F">
            <w:pPr>
              <w:pStyle w:val="NoSpacing"/>
              <w:numPr>
                <w:ilvl w:val="0"/>
                <w:numId w:val="16"/>
              </w:numPr>
              <w:spacing w:before="60" w:after="60"/>
              <w:ind w:left="342"/>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 must include within the transition plan a task to determine a baseline for each application.  The governance process will be available to address “unreasonable” demands.  Also, refer to Section 27 (Change Control) and Section 34 (Contract Controversies) of Appendix A.</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6</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How will the Commonwealth ensure agency compliance with the contracted services and associated schedules? (rationalize)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is an internal Commonwealth management issue and will be resolved internally.</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6</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Please provide a copy of the Quality of Services (QoS) requirements as determined by the Commonwealth application owners.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ind w:left="-18"/>
              <w:rPr>
                <w:rFonts w:ascii="Times New Roman" w:hAnsi="Times New Roman"/>
                <w:color w:val="000000" w:themeColor="text1"/>
                <w:sz w:val="18"/>
                <w:szCs w:val="18"/>
              </w:rPr>
            </w:pPr>
            <w:r w:rsidRPr="001A443A">
              <w:rPr>
                <w:rFonts w:ascii="Times New Roman" w:hAnsi="Times New Roman"/>
                <w:color w:val="000000" w:themeColor="text1"/>
                <w:sz w:val="18"/>
                <w:szCs w:val="18"/>
              </w:rPr>
              <w:t>QOS requirements are set on a per application/service basis.</w:t>
            </w:r>
          </w:p>
          <w:p w:rsidR="00961AA2" w:rsidRPr="001A443A" w:rsidRDefault="00961AA2" w:rsidP="00B3699F">
            <w:pPr>
              <w:pStyle w:val="NoSpacing"/>
              <w:spacing w:before="60" w:after="60"/>
              <w:ind w:left="-18"/>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 must include within the Transition plan a task to determine a baseline for each application.</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2.2</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7</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Section 2.2 indicates that the Commonwealth has a set of Service Levels proposed?  We are unable to locate specific current SLAs that the Commonwealth has today as a baseline, or is requiring as a minimum from the Offeror.  Can the Commonwealth elaborate on its baseline requirement?</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Schedules J.1, J.2 and J.3 detail the Service Levels required by the Commonwealth.</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2.3</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7</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Do we know what the current levels of service are at all the data centers that are in scope (outside of DPH &amp; EDC)?</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Does the Commonwealth have established criteria defined to evaluate new technology offerings?</w:t>
            </w:r>
          </w:p>
          <w:p w:rsidR="00961AA2" w:rsidRPr="001A443A" w:rsidRDefault="00961AA2" w:rsidP="00B3699F">
            <w:pPr>
              <w:spacing w:before="60" w:after="60"/>
              <w:rPr>
                <w:color w:val="000000" w:themeColor="text1"/>
                <w:sz w:val="18"/>
                <w:szCs w:val="18"/>
              </w:rPr>
            </w:pPr>
          </w:p>
          <w:p w:rsidR="00961AA2" w:rsidRPr="001A443A" w:rsidRDefault="00961AA2" w:rsidP="00B3699F">
            <w:pPr>
              <w:spacing w:before="60" w:after="60"/>
              <w:rPr>
                <w:color w:val="000000" w:themeColor="text1"/>
                <w:sz w:val="18"/>
                <w:szCs w:val="18"/>
              </w:rPr>
            </w:pPr>
            <w:r w:rsidRPr="001A443A">
              <w:rPr>
                <w:color w:val="000000" w:themeColor="text1"/>
                <w:sz w:val="18"/>
                <w:szCs w:val="18"/>
              </w:rPr>
              <w:t>Is it anticipated that new technology offerings will be determined on an enterprise basis instead of an agency basis?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numPr>
                <w:ilvl w:val="0"/>
                <w:numId w:val="17"/>
              </w:numPr>
              <w:spacing w:before="60" w:after="60"/>
              <w:ind w:left="252"/>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have a formalized methodology to evaluate new technology offering.</w:t>
            </w:r>
          </w:p>
          <w:p w:rsidR="00961AA2" w:rsidRPr="001A443A" w:rsidRDefault="00961AA2" w:rsidP="00B3699F">
            <w:pPr>
              <w:pStyle w:val="NoSpacing"/>
              <w:numPr>
                <w:ilvl w:val="0"/>
                <w:numId w:val="17"/>
              </w:numPr>
              <w:spacing w:before="60" w:after="60"/>
              <w:ind w:left="252"/>
              <w:rPr>
                <w:rFonts w:ascii="Times New Roman" w:hAnsi="Times New Roman"/>
                <w:color w:val="000000" w:themeColor="text1"/>
                <w:sz w:val="18"/>
                <w:szCs w:val="18"/>
              </w:rPr>
            </w:pPr>
            <w:r w:rsidRPr="001A443A">
              <w:rPr>
                <w:rFonts w:ascii="Times New Roman" w:hAnsi="Times New Roman"/>
                <w:color w:val="000000" w:themeColor="text1"/>
                <w:sz w:val="18"/>
                <w:szCs w:val="18"/>
              </w:rPr>
              <w:t>All new technology offerings provided through this procurement will be available to all agencies, even if initially requested by a single agency.</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If a study indicates that currently installed capacity is underutilized, will the Commonwealth accept less capacity to reduce costs especially if a physical asset has reached end of service life and will be replaced?</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 the Commonwealth wishes to only pay for the service capacity needed and have the ability to increase or decrease as needed.</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3.1</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13</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As far as using outside datacenters to provide additional capacity on demand, other than secure connectivity, are there any other requirements needed for approval?</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The new datacenter must meet all of the requirements of the RFP.  If the datacenter Services will be provided by a subcontractor to the Prime, the subcontractor must be approved by the Commonwealth.</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3.2</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22</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Commonwealth’s RFP is heavily guided by ITIL.  Please comment on the importance (High, Medium, Low) of the Offeror’s datacenter operations (Production and DR) to have their datacenter’s services delivery model based on ITIL V3 guidance, and importance of having a majority of ITIL-certified staff.</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does not provide detailed evaluation criteria.  The Commonwealth desires all datacenter service delivery models to be based on ITIL V3.</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3.3 Transition Services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Are there hardcoded IP addresses within the applications?  And if can you provide the list of applications by agency / equipment with hardcoded IP addresses?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There are certain applications that are configured with “hardcoded” IP addresses.</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This level of detail is considered part of the information that will be provided during transition.</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3.3 Transition Services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provision has OA/OIT made to ensure the cooperation of the agencies with the Offeror during Transition?</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These issues will be resolved internally within the Commonwealth.  </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3.3 Transition Services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141-155</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there a list of application interactions between agencies that can be provided to the bidders?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Offeror should determine this as a task during Transition Planning.</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3.3 Transition Services</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141-155</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Is there a list of application interactions within agencies that can be provided to the bidders?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The Offeror should determine this as a task during Transition Planning.</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F</w:t>
            </w:r>
          </w:p>
        </w:tc>
        <w:tc>
          <w:tcPr>
            <w:tcW w:w="1153"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3.3</w:t>
            </w:r>
          </w:p>
        </w:tc>
        <w:tc>
          <w:tcPr>
            <w:tcW w:w="1105" w:type="dxa"/>
            <w:gridSpan w:val="3"/>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Pages 141-152</w:t>
            </w: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Where in the proposal should the Offeror provide the draft transition plan?</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M.</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H</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Please provide a definition for Authority Levels for changes to the Agreement.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is requesting Offerors to describe their change control process.  The Commonwealth will work with the selected Offeror to define authority levels within the Commonwealth for change requests.</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H</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3</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Please provide a list to validate agencies by location.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agency headquarters are located within the city of Harrisburg, PA.</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All Commonwealth datacenters within scope of this procurement are within metro Harrisburg, PA, with the exception of the three Disaster Recovery Sites that will be consolidated into this procurement.</w:t>
            </w:r>
          </w:p>
          <w:p w:rsidR="00961AA2" w:rsidRPr="001A443A" w:rsidRDefault="00961AA2" w:rsidP="00B3699F">
            <w:pPr>
              <w:pStyle w:val="NoSpacing"/>
              <w:spacing w:before="60" w:after="60"/>
              <w:rPr>
                <w:rFonts w:ascii="Times New Roman" w:hAnsi="Times New Roman"/>
                <w:color w:val="000000" w:themeColor="text1"/>
                <w:sz w:val="18"/>
                <w:szCs w:val="18"/>
              </w:rPr>
            </w:pP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pStyle w:val="NoSpacing"/>
              <w:spacing w:before="60" w:after="60"/>
              <w:rPr>
                <w:rFonts w:ascii="Times New Roman" w:hAnsi="Times New Roman"/>
                <w:bCs/>
                <w:color w:val="000000" w:themeColor="text1"/>
                <w:sz w:val="18"/>
                <w:szCs w:val="18"/>
              </w:rPr>
            </w:pPr>
            <w:r w:rsidRPr="001A443A">
              <w:rPr>
                <w:rFonts w:ascii="Times New Roman" w:hAnsi="Times New Roman"/>
                <w:color w:val="000000" w:themeColor="text1"/>
                <w:sz w:val="18"/>
                <w:szCs w:val="18"/>
              </w:rPr>
              <w:t>Are the DASD requirements Raw or Usable?</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Offeror must be capable of providing both options.</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I</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N/A</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N/A</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As the Commonwealth may be aware, GAAP accounting principles guide many organizations.  Similarly, the Commonwealth is driven by budget.  The lack of committed baselines could and likely will be interpreted by some as no contractually obligated revenue.  As this contract is responsible for infrastructure support for several of the most critical applications in the Commonwealth, it is unrealistic to think of a situation where there would be no baselines required.  It is requested that the Commonwealth provide committed baselines as it is expecting significant capital investment by the Offerors.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Commonwealth will not provide a minimum commitment for this procurement.</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I</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The Base Units - Volumetrics sets forth no quantity of physical systems for support of AIX.  How is that to be handled?</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Volumetrics in Schedule I will be used to evaluate Offerors’ cost proposals and are not a minimum commitment or an all inclusive representation of every service desired by the Commonwealth.  Offerors must respond to Schedule I as presented.</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Can you please confirm that each Critical and Key Measurement Service Level will be assigned a percentage whereby if a specific Critical Measurement is missed during a month, then the respective percentage assigned to this Critical Measurement will be used to multiply against the total At Risk amount to determine the amount of the credit due to Commonwealth?</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That is not correct.  The credit due the Commonwealth for a Service Level Default is defined in Schedule J.2 and is either based on the invoice amount for the impacted service or a fixed amount.  The total amount of credits is not to exceed the “At Risk Amount.”</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J.1</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11</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How do we manage to SLAs when in a test sequence? Do they still apply or are they held pending the completion of the test run?</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If the duration of the Test sequence is defined within an approved infrastructure change request, the SLA's would not apply.</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J.1</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A Service Level Credit is defined as 100% of the affected month's invoicing for the service that experienced a Service Level Default. According to the Commonwealth's requirements for invoicing, there is no requirement to break down the invoice by specific service being measured by a Service Level Agreement. Without that level of detail, how can the Service Provider determine the amount of the Service Level Credit?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Invoicing must be detailed by the service provided.  This level of detail will  be used for SLA Credit calculations.</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J.2</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SL22</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High Risk Security Patch Updates Timeliness</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What is considered a high risk?</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Each patch is evaluated by the Commonwealth’s security teams and assigned a risk level.  The patches are then deployed according to the assigned risk level.  </w:t>
            </w:r>
          </w:p>
          <w:p w:rsidR="00961AA2" w:rsidRPr="001A443A" w:rsidRDefault="00961AA2" w:rsidP="00B3699F">
            <w:pPr>
              <w:pStyle w:val="NoSpacing"/>
              <w:spacing w:before="60" w:after="60"/>
              <w:rPr>
                <w:rFonts w:ascii="Times New Roman" w:hAnsi="Times New Roman"/>
                <w:color w:val="000000" w:themeColor="text1"/>
                <w:sz w:val="18"/>
                <w:szCs w:val="18"/>
              </w:rPr>
            </w:pP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 xml:space="preserve">Please refer to Commonwealth ITB on </w:t>
            </w:r>
            <w:bookmarkStart w:id="0" w:name="OLE_LINK22"/>
            <w:bookmarkStart w:id="1" w:name="OLE_LINK23"/>
            <w:r w:rsidRPr="001A443A">
              <w:rPr>
                <w:rFonts w:ascii="Times New Roman" w:hAnsi="Times New Roman"/>
                <w:color w:val="000000" w:themeColor="text1"/>
                <w:sz w:val="18"/>
                <w:szCs w:val="18"/>
              </w:rPr>
              <w:t>Desktop and Server Software Patching Policy</w:t>
            </w:r>
            <w:bookmarkEnd w:id="0"/>
            <w:bookmarkEnd w:id="1"/>
            <w:r w:rsidRPr="001A443A">
              <w:rPr>
                <w:rFonts w:ascii="Times New Roman" w:hAnsi="Times New Roman"/>
                <w:color w:val="000000" w:themeColor="text1"/>
                <w:sz w:val="18"/>
                <w:szCs w:val="18"/>
              </w:rPr>
              <w:t xml:space="preserve"> ITB-SYM006.</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J.2</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Will each agency have its own SLAs or will the SLAs be calculated as a whole for the entire contract?</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Each individual order item will have a SLA.  SLAs must be tracked on an individual orderable item not the contract as a whole.</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J.2</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N/A</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Key Measurements (KM’s) are target measurements for non-critical service areas and are not eligible for Performance Credits. If so, why does Schedule J2 list Default Remedy Types for all listed KM’s?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The credits defined for Key Measurements are established because the SLA change methodology allows the Commonwealth to convert a Key Measurement into a Critical Measurement.  The credit is to provide the Offeror with the expected credit should this occur.</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J.2</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SL1-8</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Various Application Infrastructure Availability</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Could the Commonwealth provide application architecture documentation, so the bidder can assess the capability of the applications to meet the desired Service Levels?</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No, Commonwealth service levels are not defined by application.</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J.3</w:t>
            </w:r>
          </w:p>
        </w:tc>
        <w:tc>
          <w:tcPr>
            <w:tcW w:w="1153" w:type="dxa"/>
            <w:shd w:val="clear" w:color="auto" w:fill="auto"/>
          </w:tcPr>
          <w:p w:rsidR="00961AA2" w:rsidRPr="001A443A" w:rsidRDefault="00961AA2" w:rsidP="00B3699F">
            <w:pPr>
              <w:spacing w:before="60" w:after="60"/>
              <w:rPr>
                <w:color w:val="000000" w:themeColor="text1"/>
                <w:sz w:val="18"/>
                <w:szCs w:val="18"/>
              </w:rPr>
            </w:pPr>
          </w:p>
        </w:tc>
        <w:tc>
          <w:tcPr>
            <w:tcW w:w="1105" w:type="dxa"/>
            <w:gridSpan w:val="3"/>
            <w:shd w:val="clear" w:color="auto" w:fill="auto"/>
          </w:tcPr>
          <w:p w:rsidR="00961AA2" w:rsidRPr="001A443A" w:rsidRDefault="00961AA2" w:rsidP="00B3699F">
            <w:pPr>
              <w:spacing w:before="60" w:after="60"/>
              <w:rPr>
                <w:color w:val="000000" w:themeColor="text1"/>
                <w:sz w:val="18"/>
                <w:szCs w:val="18"/>
              </w:rPr>
            </w:pPr>
          </w:p>
        </w:tc>
        <w:tc>
          <w:tcPr>
            <w:tcW w:w="7372" w:type="dxa"/>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The Service Level references Note 2, however, there is no Note 2 at bottom of the document.  Will the Commonwealth please clarify?</w:t>
            </w:r>
          </w:p>
        </w:tc>
        <w:tc>
          <w:tcPr>
            <w:tcW w:w="6030" w:type="dxa"/>
            <w:shd w:val="clear" w:color="auto" w:fill="auto"/>
          </w:tcPr>
          <w:p w:rsidR="00961AA2" w:rsidRPr="001F6450" w:rsidRDefault="00961AA2" w:rsidP="00B3699F">
            <w:pPr>
              <w:pStyle w:val="NoSpacing"/>
              <w:spacing w:before="60" w:after="60"/>
              <w:rPr>
                <w:rFonts w:ascii="Times New Roman" w:hAnsi="Times New Roman"/>
                <w:strike/>
                <w:color w:val="FF0000"/>
                <w:sz w:val="18"/>
                <w:szCs w:val="18"/>
              </w:rPr>
            </w:pPr>
            <w:r w:rsidRPr="001F6450">
              <w:rPr>
                <w:rFonts w:ascii="Times New Roman" w:hAnsi="Times New Roman"/>
                <w:strike/>
                <w:color w:val="FF0000"/>
                <w:sz w:val="18"/>
                <w:szCs w:val="18"/>
              </w:rPr>
              <w:t xml:space="preserve">There should not be a reference to Note 2.  </w:t>
            </w:r>
          </w:p>
        </w:tc>
      </w:tr>
      <w:tr w:rsidR="00961AA2" w:rsidRPr="004F6F86" w:rsidTr="00B3699F">
        <w:trPr>
          <w:cantSplit/>
        </w:trPr>
        <w:tc>
          <w:tcPr>
            <w:tcW w:w="720" w:type="dxa"/>
            <w:gridSpan w:val="3"/>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J.3</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Metric Exclusion for each SLA</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p>
        </w:tc>
        <w:tc>
          <w:tcPr>
            <w:tcW w:w="7372" w:type="dxa"/>
            <w:shd w:val="clear" w:color="auto" w:fill="auto"/>
          </w:tcPr>
          <w:p w:rsidR="00961AA2" w:rsidRPr="001A443A" w:rsidRDefault="00961AA2" w:rsidP="00B3699F">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There are multiple references to Note 2, which cannot be found in the document.</w:t>
            </w:r>
          </w:p>
        </w:tc>
        <w:tc>
          <w:tcPr>
            <w:tcW w:w="6030" w:type="dxa"/>
            <w:shd w:val="clear" w:color="auto" w:fill="auto"/>
          </w:tcPr>
          <w:p w:rsidR="00961AA2" w:rsidRPr="001F6450" w:rsidRDefault="00961AA2" w:rsidP="00B3699F">
            <w:pPr>
              <w:pStyle w:val="NoSpacing"/>
              <w:spacing w:before="60" w:after="60"/>
              <w:rPr>
                <w:rFonts w:ascii="Times New Roman" w:hAnsi="Times New Roman"/>
                <w:strike/>
                <w:color w:val="FF0000"/>
                <w:sz w:val="18"/>
                <w:szCs w:val="18"/>
              </w:rPr>
            </w:pPr>
            <w:r w:rsidRPr="001F6450">
              <w:rPr>
                <w:rFonts w:ascii="Times New Roman" w:hAnsi="Times New Roman"/>
                <w:strike/>
                <w:color w:val="FF0000"/>
                <w:sz w:val="18"/>
                <w:szCs w:val="18"/>
              </w:rPr>
              <w:t xml:space="preserve">There should not be a reference to Note 2.  </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J.3</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2</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“Metric Exclusions” states that “all items defined in Note 2 at the bottom of this Schedule J.3.”  We cannot find Note 2 in this Schedule?</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F6450" w:rsidRDefault="00961AA2" w:rsidP="00B3699F">
            <w:pPr>
              <w:pStyle w:val="NoSpacing"/>
              <w:spacing w:before="60" w:after="60"/>
              <w:rPr>
                <w:rFonts w:ascii="Times New Roman" w:hAnsi="Times New Roman"/>
                <w:strike/>
                <w:color w:val="FF0000"/>
                <w:sz w:val="18"/>
                <w:szCs w:val="18"/>
              </w:rPr>
            </w:pPr>
            <w:r w:rsidRPr="001F6450">
              <w:rPr>
                <w:rFonts w:ascii="Times New Roman" w:hAnsi="Times New Roman"/>
                <w:strike/>
                <w:color w:val="FF0000"/>
                <w:sz w:val="18"/>
                <w:szCs w:val="18"/>
              </w:rPr>
              <w:t xml:space="preserve">There should not be a reference to Note 2.  </w:t>
            </w:r>
          </w:p>
        </w:tc>
      </w:tr>
      <w:tr w:rsidR="00961AA2" w:rsidRPr="004F6F86" w:rsidTr="00B3699F">
        <w:trPr>
          <w:cantSplit/>
        </w:trPr>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K</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D.02-54</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Is the request for a backup audit for UNIX systems similar to D-02.39</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one is for windows and one is for Unix</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K</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D-02.59</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12</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Is the request for a backup audit for Mainframe systems similar to D-02.39</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one is for windows and one is for mainframes.</w:t>
            </w:r>
          </w:p>
        </w:tc>
      </w:tr>
      <w:tr w:rsidR="00961AA2" w:rsidRPr="004F6F86" w:rsidTr="00B3699F">
        <w:trPr>
          <w:cantSplit/>
        </w:trPr>
        <w:tc>
          <w:tcPr>
            <w:tcW w:w="491"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99" w:type="dxa"/>
            <w:gridSpan w:val="4"/>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K</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D-01.04,  D-01.05, D-01.06</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5-6</w:t>
            </w:r>
          </w:p>
        </w:tc>
        <w:tc>
          <w:tcPr>
            <w:tcW w:w="738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Should the reference to “Start Up” read “Effective Date”? If not, please define “Start Up”.</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“Start Up” should read “Effective Date.”</w:t>
            </w:r>
          </w:p>
        </w:tc>
      </w:tr>
      <w:tr w:rsidR="00961AA2" w:rsidRPr="004F6F86" w:rsidTr="00B3699F">
        <w:trPr>
          <w:cantSplit/>
        </w:trPr>
        <w:tc>
          <w:tcPr>
            <w:tcW w:w="540" w:type="dxa"/>
            <w:gridSpan w:val="2"/>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Section F</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Exhibit G.7</w:t>
            </w:r>
          </w:p>
        </w:tc>
        <w:tc>
          <w:tcPr>
            <w:tcW w:w="1153"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2.1</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Application Narrative</w:t>
            </w:r>
          </w:p>
        </w:tc>
        <w:tc>
          <w:tcPr>
            <w:tcW w:w="1105" w:type="dxa"/>
            <w:gridSpan w:val="3"/>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5</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2</w:t>
            </w:r>
          </w:p>
        </w:tc>
        <w:tc>
          <w:tcPr>
            <w:tcW w:w="7372"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Please comment on the importance (High, Medium, Low) for data center compliance in Production and Disaster Recovery:</w:t>
            </w:r>
          </w:p>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Facility Clearance Levels (FCL) at “Top Secret” (especially in relation to the PSP CJIS requirement); NIST 800-53rev3 controls at the “Moderate Impact” level for FISMA compliance; NIST 800-37 and NIST 800-53 at a Moderate level; DIACAP audit at the “MAC III” level.</w:t>
            </w:r>
          </w:p>
        </w:tc>
        <w:tc>
          <w:tcPr>
            <w:tcW w:w="6030" w:type="dxa"/>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Offerors must meet all of the requirements set forth in the RFP.  The Commonwealth does not provide detailed evaluation criteria.</w:t>
            </w:r>
          </w:p>
        </w:tc>
      </w:tr>
      <w:tr w:rsidR="00961AA2" w:rsidRPr="004F6F86" w:rsidTr="00B3699F">
        <w:trPr>
          <w:cantSplit/>
        </w:trPr>
        <w:tc>
          <w:tcPr>
            <w:tcW w:w="540" w:type="dxa"/>
            <w:gridSpan w:val="2"/>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ListParagraph"/>
              <w:numPr>
                <w:ilvl w:val="0"/>
                <w:numId w:val="42"/>
              </w:numPr>
              <w:tabs>
                <w:tab w:val="left" w:pos="155"/>
              </w:tabs>
              <w:spacing w:before="60" w:after="60"/>
              <w:ind w:left="0" w:firstLine="0"/>
              <w:rPr>
                <w:rFonts w:ascii="Times New Roman" w:hAnsi="Times New Roman"/>
                <w:color w:val="000000" w:themeColor="text1"/>
                <w:sz w:val="18"/>
                <w:szCs w:val="18"/>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Transition Milestones</w:t>
            </w:r>
          </w:p>
        </w:tc>
        <w:tc>
          <w:tcPr>
            <w:tcW w:w="1153"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color w:val="000000" w:themeColor="text1"/>
                <w:sz w:val="18"/>
                <w:szCs w:val="18"/>
              </w:rPr>
              <w:t>Schedule D</w:t>
            </w:r>
          </w:p>
        </w:tc>
        <w:tc>
          <w:tcPr>
            <w:tcW w:w="1105" w:type="dxa"/>
            <w:gridSpan w:val="3"/>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spacing w:before="60" w:after="60"/>
              <w:rPr>
                <w:color w:val="000000" w:themeColor="text1"/>
                <w:sz w:val="18"/>
                <w:szCs w:val="18"/>
              </w:rPr>
            </w:pPr>
            <w:r w:rsidRPr="001A443A">
              <w:rPr>
                <w:rFonts w:eastAsia="Times New Roman"/>
                <w:color w:val="000000" w:themeColor="text1"/>
                <w:sz w:val="18"/>
                <w:szCs w:val="18"/>
              </w:rPr>
              <w:t>Will consortiums have the ability to leverage multiple data centers to satisfy the Commonwealth business requirements? i.e. if a company specializes in line of business such as Esri GIS and offers data center capabilities focused on that suite of products and platform can that be included as part of a consortium bid to support GIS services, software, hardware, and platform requirements.</w:t>
            </w:r>
          </w:p>
        </w:tc>
        <w:tc>
          <w:tcPr>
            <w:tcW w:w="6030" w:type="dxa"/>
            <w:tcBorders>
              <w:top w:val="single" w:sz="4" w:space="0" w:color="auto"/>
              <w:left w:val="single" w:sz="4" w:space="0" w:color="auto"/>
              <w:bottom w:val="single" w:sz="4" w:space="0" w:color="auto"/>
              <w:right w:val="single" w:sz="4" w:space="0" w:color="auto"/>
            </w:tcBorders>
            <w:shd w:val="clear" w:color="auto" w:fill="auto"/>
          </w:tcPr>
          <w:p w:rsidR="00961AA2" w:rsidRPr="001A443A" w:rsidRDefault="00961AA2" w:rsidP="00B3699F">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Yes, the Offeror and its consortium of subcontractors are encouraged to leverage their combined infrastructure options to provide the best service at the best price to the Commonwealth.</w:t>
            </w:r>
          </w:p>
        </w:tc>
      </w:tr>
    </w:tbl>
    <w:p w:rsidR="00961AA2" w:rsidRDefault="00961AA2">
      <w:pPr>
        <w:rPr>
          <w:b/>
          <w:i/>
        </w:rPr>
      </w:pPr>
    </w:p>
    <w:p w:rsidR="00961AA2" w:rsidRDefault="00961AA2">
      <w:pPr>
        <w:rPr>
          <w:b/>
          <w:i/>
        </w:rPr>
      </w:pPr>
    </w:p>
    <w:p w:rsidR="00961AA2" w:rsidRDefault="00961AA2">
      <w:pPr>
        <w:rPr>
          <w:b/>
          <w:i/>
        </w:rPr>
      </w:pPr>
    </w:p>
    <w:tbl>
      <w:tblPr>
        <w:tblW w:w="17475" w:type="dxa"/>
        <w:tblInd w:w="93" w:type="dxa"/>
        <w:tblLook w:val="04A0"/>
      </w:tblPr>
      <w:tblGrid>
        <w:gridCol w:w="909"/>
        <w:gridCol w:w="1216"/>
        <w:gridCol w:w="1461"/>
        <w:gridCol w:w="996"/>
        <w:gridCol w:w="6863"/>
        <w:gridCol w:w="6030"/>
      </w:tblGrid>
      <w:tr w:rsidR="00961AA2" w:rsidRPr="00DB5C98" w:rsidTr="00B3699F">
        <w:trPr>
          <w:cantSplit/>
          <w:trHeight w:val="240"/>
          <w:tblHeader/>
        </w:trPr>
        <w:tc>
          <w:tcPr>
            <w:tcW w:w="17475" w:type="dxa"/>
            <w:gridSpan w:val="6"/>
            <w:tcBorders>
              <w:top w:val="single" w:sz="4" w:space="0" w:color="auto"/>
              <w:left w:val="single" w:sz="4" w:space="0" w:color="auto"/>
              <w:bottom w:val="single" w:sz="4" w:space="0" w:color="auto"/>
              <w:right w:val="single" w:sz="4" w:space="0" w:color="auto"/>
            </w:tcBorders>
            <w:shd w:val="clear" w:color="auto" w:fill="C6D9F1" w:themeFill="text2" w:themeFillTint="33"/>
          </w:tcPr>
          <w:p w:rsidR="00961AA2" w:rsidRPr="008A1635" w:rsidRDefault="00961AA2" w:rsidP="00B3699F">
            <w:pPr>
              <w:rPr>
                <w:rFonts w:eastAsia="Times New Roman"/>
                <w:b/>
                <w:bCs/>
                <w:sz w:val="18"/>
                <w:szCs w:val="18"/>
              </w:rPr>
            </w:pPr>
            <w:r w:rsidRPr="008A1635">
              <w:rPr>
                <w:b/>
                <w:i/>
                <w:sz w:val="18"/>
                <w:szCs w:val="18"/>
              </w:rPr>
              <w:t>Addendum 7 – Round 1, Part 3</w:t>
            </w:r>
          </w:p>
        </w:tc>
      </w:tr>
      <w:tr w:rsidR="00961AA2" w:rsidRPr="008156B5" w:rsidTr="00B3699F">
        <w:trPr>
          <w:cantSplit/>
          <w:trHeight w:val="240"/>
          <w:tblHeader/>
        </w:trPr>
        <w:tc>
          <w:tcPr>
            <w:tcW w:w="90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color w:val="000000"/>
                <w:sz w:val="18"/>
                <w:szCs w:val="18"/>
              </w:rPr>
            </w:pPr>
          </w:p>
        </w:tc>
        <w:tc>
          <w:tcPr>
            <w:tcW w:w="1216" w:type="dxa"/>
            <w:tcBorders>
              <w:top w:val="single" w:sz="4" w:space="0" w:color="auto"/>
              <w:left w:val="nil"/>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1461" w:type="dxa"/>
            <w:tcBorders>
              <w:top w:val="single" w:sz="4" w:space="0" w:color="auto"/>
              <w:left w:val="nil"/>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996" w:type="dxa"/>
            <w:tcBorders>
              <w:top w:val="single" w:sz="4" w:space="0" w:color="auto"/>
              <w:left w:val="nil"/>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6863" w:type="dxa"/>
            <w:tcBorders>
              <w:top w:val="single" w:sz="4" w:space="0" w:color="auto"/>
              <w:left w:val="nil"/>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6030" w:type="dxa"/>
            <w:tcBorders>
              <w:top w:val="single" w:sz="4" w:space="0" w:color="auto"/>
              <w:left w:val="nil"/>
              <w:bottom w:val="single" w:sz="4" w:space="0" w:color="auto"/>
              <w:right w:val="single" w:sz="4" w:space="0" w:color="auto"/>
            </w:tcBorders>
            <w:shd w:val="clear" w:color="auto" w:fill="C6D9F1" w:themeFill="text2" w:themeFillTint="33"/>
            <w:hideMark/>
          </w:tcPr>
          <w:p w:rsidR="00961AA2" w:rsidRPr="008A1635" w:rsidRDefault="00961AA2" w:rsidP="00B3699F">
            <w:pPr>
              <w:rPr>
                <w:rFonts w:eastAsia="Times New Roman"/>
                <w:b/>
                <w:bCs/>
                <w:sz w:val="18"/>
                <w:szCs w:val="18"/>
              </w:rPr>
            </w:pPr>
            <w:r w:rsidRPr="008A1635">
              <w:rPr>
                <w:rFonts w:eastAsia="Times New Roman"/>
                <w:b/>
                <w:bCs/>
                <w:sz w:val="18"/>
                <w:szCs w:val="18"/>
              </w:rPr>
              <w:t>Answer</w:t>
            </w:r>
          </w:p>
        </w:tc>
      </w:tr>
      <w:tr w:rsidR="00961AA2" w:rsidRPr="008156B5" w:rsidTr="00B3699F">
        <w:trPr>
          <w:cantSplit/>
          <w:trHeight w:val="21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explain the use of the words “like for like” or increased computing capabilities.  Please confirm that the Commonwealth is expecting to acquire “like for like” configurations for hardware, software and all technology defined in all of the exhibits.  Also please explain how these configurations will be priced and reflected in the Cost tab under “Volumetrics” that appear not to be consistent with the requirements reflected in the exhibits.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"Like-for-like" in this RFP is intended to convey that the services provided by the Offeror must perform at the same level as those being performed today with the Commonwealth's current infrastructure.  In some cases, this will require an exact duplication of the infrastructure in place today and in some cases new and more robust architectures will be required  </w:t>
            </w:r>
            <w:r w:rsidRPr="008A1635">
              <w:rPr>
                <w:rFonts w:eastAsia="Times New Roman"/>
                <w:sz w:val="18"/>
                <w:szCs w:val="18"/>
              </w:rPr>
              <w:br/>
            </w:r>
            <w:r w:rsidRPr="008A1635">
              <w:rPr>
                <w:rFonts w:eastAsia="Times New Roman"/>
                <w:sz w:val="18"/>
                <w:szCs w:val="18"/>
              </w:rPr>
              <w:br/>
              <w:t xml:space="preserve">The Offeror must determine which configurations require "like-for-like" during transition planning.  </w:t>
            </w:r>
            <w:r w:rsidRPr="008A1635">
              <w:rPr>
                <w:rFonts w:eastAsia="Times New Roman"/>
                <w:sz w:val="18"/>
                <w:szCs w:val="18"/>
              </w:rPr>
              <w:br/>
            </w:r>
            <w:r w:rsidRPr="008A1635">
              <w:rPr>
                <w:rFonts w:eastAsia="Times New Roman"/>
                <w:sz w:val="18"/>
                <w:szCs w:val="18"/>
              </w:rPr>
              <w:br/>
              <w:t>The configurations and Volumetrics are hypothetical and will be used for cost evaluation only.  The pricing will be based on the service catalog provided by the Offeror in Schedule C.</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3.2.1.5.2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Which exhibits provide details regarding Tiered DDR as only Schedule J.1 is referenced.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“DDR” is a typographical error.  “DDR” should read “DR” in this section.    DR services should be orderable catalog items based on the technology and configuration being offered.</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Commonwealth’s definition of “At the direction” and “At its discretion”?  During the Transition, Commonwealth participation, especially application support resources will be critical to the program’s success.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”At the direction” indicates that the Offeror must receive Commonwealth approval before transitioning an application.  The Commonwealth will assign staff to transition activities per the application owner's “discretion.” </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expectation on behalf of the Commonwealth regarding agencies that are not using the Commonwealth's Enterprise Remedy System (ERS)?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Agencies that do not participate in the Commonwealth’s Enterprise Remedy must have the availability to contact the service provider via telephone.  Also, the Offeror must accept telephone calls from the Commonwealth for the reporting of incidents in the event the Commonwealth's Remedy system is not available for the caller.  When this occurs, the selected Offeror must create an incident ticket that will be updated and sent to the Commonwealth’s Enterprise Remedy for tracking, escalation, SLA, and reporting purposes.</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H</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a list to validate agencies by location.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All agency headquarters and datacenters are located within 12 miles of Harrisburg, PA.    Please note, however, the Commonwealth has over 3,200 locations that agency personnel occupy. </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1.3.10</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the Targeted Applications to be measured via Service Level Agreements.  This was not contained in Schedule J.3</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All applications will have a Service Level. The Commonwealth will select the service level category (Platinum, Gold, Silver, etc.).</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17,(b)</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Key Positions.  This section states that all Key Employees shall be dedicated to the Commonwealth account on a full-time basis.    This requirement is in conflict with the requirements specified in Schedule G.  Please clarify?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All key employees must be dedicated to the Commonwealth account on a full time basis.  Complete Schedule G accordingly.</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a cloud IaaS solution, particularly for Server Capacity, but in general, how important is available APIs to the Commonwealth?  Can you rate as Critical, Important, or Optional?</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All of the RFP requirements are important to the Commonwealth.  The Commonwealth does not disclose detailed evaluation criteria.</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a vendor’s data center or cloud offering is shared with other non-Commonwealth clients, can any of the computer hardware, storage devices or other IT infrastructure be shared with a non-Commonwealth client in order to help reduce costs?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As part of the Transition Process, this will be determined on an application by application basis.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H</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 ensure that interim procedures align to current, please provide a current Joint Responsibility Matrix (JRM) of Performance Management Procedures on file.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Because the Commonwealth does not operate a majority of the datacenters jointly with a contractor, a Joint Responsibility Matrix is not available to provide.</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H</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 ensure that interim procedures align to current, please provide a current Joint Responsibility Matrix (JRM) for Financial Management Procedures.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Because the Commonwealth does not operate a majority of the datacenters jointly with a contractor, a Joint Responsibility Matrix is not available to provide.</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H</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 ensure that interim procedures align to current, please provide a current Joint Responsibility Matrix (JRM) of Contract Management Procedures.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Because the Commonwealth does not operate a majority of the datacenters jointly with a contractor, a Joint Responsibility Matrix is not available to provide.</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application performance requirements are included in the bid?  In other words, other than the requirement to provide “like for like” infrastructure based on the exhibits are there any other performance requirements like benchmarks, etc.?    If performance issues are introduced during the migrations of the existing data centers, who will be financially responsible to resolve those issues?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Before migration, the contractor shall work with agencies as part of transition planning to benchmark the applications and the new infrastructure.  The Offeror must provide the infrastructure performance desired by the Commonwealth.</w:t>
            </w:r>
          </w:p>
        </w:tc>
      </w:tr>
      <w:tr w:rsidR="00961AA2" w:rsidRPr="008156B5" w:rsidTr="00B3699F">
        <w:trPr>
          <w:cantSplit/>
          <w:trHeight w:val="26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does the acronym CPPM mean in below reference from respective page?  It's not identified in Scheduled A (Defined terms).    “The Offeror must create and keep current a CPPM that documents the processes, procedures and timelines used to meet the requirements of this contract.  The CPPM must provide detailed process descriptions to support the computing needs of the Commonwealth utilizing best practices and be made available (via Offeror’s Portal) to all Commonwealth agencies throughout the term of the contract.”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CPPM was an incorrect reference. It should be listed as CCPM (Commonwealth Compute Procedure Manual - Schedule H).</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constitutes "current" software? N, N-1, N-2…?</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Current software in this RFP means the software is currently supported by the publisher. </w:t>
            </w:r>
          </w:p>
        </w:tc>
      </w:tr>
      <w:tr w:rsidR="00961AA2" w:rsidRPr="008156B5" w:rsidTr="00B3699F">
        <w:trPr>
          <w:cantSplit/>
          <w:trHeight w:val="21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High Availability (HA) in the data center design is mentioned multiple times, along with DR.  Yet HA is as much of an application design issue as it is a data center/network issue.  Are any of the applications today designed for HA and is there a program in place within the Commonwealth to design critical applications for HA?  If so, please provide the list of the application programs that are HA enabled?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Currently the Commonwealth has no applications designed for High Availability across multiple datacenters.  The Commonwealth desires the infrastructure to readily support HA across datacenters, thus allowing future development for this capability.</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requirement for chargeback procedures state that those procedures “will include the ability to map to discrete programs and funding sources identified by agencies with this requirement”.    Please provide a list of requirements for both a list of those agencies and a list of the discrete programs.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Each invoice item will need to be assigned a specific General Ledger account code for chargeback purposes.  This account code will provide the detail required by the Commonwealth.</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 thru 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Hours and Days of Measurement for the five levels of service, basic through platinum, are indicated as 7 x 24 x 365. If all service levels required the same of availability is there a need for five service levels or should the hours of availability vary based on the service level being provided?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Each of the five service levels (SL01-SL05) are the same with the exception of the uptime requirement.  Please refer to Schedule J.2 for those requirements.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For costing purposes, how many Commonwealth users should Offerors assume will require access to the online DR planning tool?</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purposes of submitting a proposal, Offerors should plan on 10 users requiring access to the DR planning tool.  The actual number of users may vary during the contract term.</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 #5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tiers of DR are required and how are they defined?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this requirement, the Offeror should provide its approach to establishing tiers that will support the Commonwealth's DR requirements.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7.1.1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new service levels are determined by the average of previous measurements, would the SLA for a service that has 100% availability for the previous 9 months be established at 100%?</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In this specific case, the Service Level would be determined by the Commonwealth and, at the Commonwealth’s sole discretion, may be set at 100%.</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 #4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this mean that SLAs beyond those in Schedule J will be created for the contract?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It is possible that SLAs beyond those in Schedule J will be created for the contract.</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 (f) Services</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this include maintenance of existing equipment and disposal?  If Offeror is responsible for disposal, what are the requirements?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Maintenance of all equipment will be the responsibility of the contractor.  Disposal of Commonwealth owned equipment will be the responsibility of the Commonwealth.  Disposal of contractor owned equipment will be the responsibility of the contractor.</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 (g)</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the vendor is proposing a shared facility, will the Commonwealth require a list of current tenants to be used in its evaluation criteria for this proposal?    If so, please be aware that in any cases specific client names cannot be shared.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No – the Commonwealth does not require a list of current tenants as part of Offerors’ proposals.  The Commonwealth reserves the right to request this information during a later stage of the procurement process or during the term of the contract.</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D-03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“Datacenter Technology Roadmap” requires estimated timings and “cost impact to Commonwealth”.  This implies that the Commonwealth is financially responsible for all technology refreshes.  Is that correct?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No, that is not correct.  This is a services based procurement and technology refreshes will be the responsibility of the selected Offeror.</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have a list of future application and database requirements that vendors should consider in responding to the requirement for an infrastructure environment that will meet all future data center requirements?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No, the Commonwealth does not have a list of future application and database requirements.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12(b)</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Commonwealth amend this Request for Proposal to include a requirement that the facilities be located within the Commonwealth of Pennsylvania?</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No.</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Section 2.1  Section 3.2.3(3)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6  85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Would the Commonwealth accept a lower tier rating for some service classes or categories (e.g. providing co-location from a tier 2 facility.)? If so, what are the minimum tiers for those service levels or categories?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No.  The Offeror must provide all datacenter services from a Tier 3 equivalent datacenter </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79</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Commonwealth has stated its requirement for fees to increase or decrease dependent on the volume consumed or variation in scope. Without a committed minimum participation or a long-range forecast of the variability of Commonwealth needs, how can a vendor commit to a fixed and ongoing financial participation to a small diverse business that may be providing these services?</w:t>
            </w:r>
          </w:p>
        </w:tc>
        <w:tc>
          <w:tcPr>
            <w:tcW w:w="6030" w:type="dxa"/>
            <w:tcBorders>
              <w:top w:val="nil"/>
              <w:left w:val="nil"/>
              <w:bottom w:val="single" w:sz="4" w:space="0" w:color="auto"/>
              <w:right w:val="single" w:sz="4" w:space="0" w:color="auto"/>
            </w:tcBorders>
            <w:shd w:val="clear" w:color="auto" w:fill="auto"/>
            <w:hideMark/>
          </w:tcPr>
          <w:p w:rsidR="00961AA2" w:rsidRPr="001F6450" w:rsidRDefault="00961AA2" w:rsidP="00B3699F">
            <w:pPr>
              <w:rPr>
                <w:rFonts w:eastAsia="Times New Roman"/>
                <w:strike/>
                <w:color w:val="FF0000"/>
                <w:sz w:val="18"/>
                <w:szCs w:val="18"/>
              </w:rPr>
            </w:pPr>
            <w:r w:rsidRPr="001F6450">
              <w:rPr>
                <w:rFonts w:eastAsia="Times New Roman"/>
                <w:strike/>
                <w:color w:val="FF0000"/>
                <w:sz w:val="18"/>
                <w:szCs w:val="18"/>
              </w:rPr>
              <w:t xml:space="preserve">Offerors must include a numerical percentage which represents the total percentage of the Total Base Term in the Cost Submittal that the Offeror commits to paying to Small Diverse Businesses (SDBs) as subcontractors.  Per section IV of the RFP, the selected contractor’s commitments to Small Diverse Businesses made at the time of proposal submittal or contract negotiation shall, to the extent so provided in the commitment, be maintained throughout the term of the contract and through any renewal or extension of the contract </w:t>
            </w:r>
          </w:p>
        </w:tc>
      </w:tr>
      <w:tr w:rsidR="00961AA2" w:rsidRPr="008156B5" w:rsidTr="00B3699F">
        <w:trPr>
          <w:cantSplit/>
          <w:trHeight w:val="21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141</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“Initial transition approach of the Commonwealth’s mainframe and SAP environments requires that the results be as close to the Commonwealth’s current configurations as technically possible”.    Since the configurations described in the exhibits are not reflected in Schedule I, (Pricing Forms) is the Commonwealth financially responsible for paying for any gaps to ensure that these configurations meet or exceed current configurations?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Offerors must provide a catalog of services, including pricing, that includes sufficient detail to allow the Commonwealth to order the desired configuration(s) required to satisfy the need of the application owner.  The Volumetrics in Schedule I will be used to evaluate Offerors’ cost proposals and are not a minimum commitment or an all-inclusive representation of every service desired by the Commonwealth. </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3.2.1.8</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Offeror be financially responsible for any Commonwealth-provided software?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clarify the question and provide additional detail.</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experience or logs for the applications’ availability?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clarify the question and provide additional detail.</w:t>
            </w:r>
          </w:p>
        </w:tc>
      </w:tr>
      <w:tr w:rsidR="00961AA2" w:rsidRPr="008156B5" w:rsidTr="00B3699F">
        <w:trPr>
          <w:cantSplit/>
          <w:trHeight w:val="36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D  Domestic Workforce Utilization Certification</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There are different types of Cloud resources that a Provider could recommend.  One type is an “unmanaged” environment. In such an environment: 1)  those who administer the base resources do not have root access to the virtual machines; 2) once an instance is provisioned, it becomes the sole responsibility of the Cloud consumer or the provider acting on his/her behalf.    In the envisioned scenario, administrators of the base resources could be located in countries outside the U.S. and not part of WTO Government Procurement Agreement.  Provisioned instances would be managed only by U.S. resources of the Provider.  Would this scenario warrant Maximum Consideration by the Commonwealth?  Or would a smaller score be awarded?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clarify the question and provide additional detail.</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3.2.1.8</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Offeror be granted permission to use any available Commonwealth ELAs?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define ELA and provide more detail concerning the permission being sought.</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 (b) (1)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define requirements for facility upkeep. For example does this include snow removal, janitorial services,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refer to Exhibit D.7 for those details.</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Requirement 1 appears to be for a report only detailing the facility upgrades needed.    Once the facility upgrade report is reviewed and approved by the Commonwealth, who is financially responsible for the costs of the facility upgrades?    Will the capital improvement fund mentioned on page 18 of Appendix A be used to fund HVAC and power upgrades at the EDC?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Requirement 1 requires a report be provided.  It does not require any changes to the building or datacenter.  The Capital Improvement fund defined within Appendix A is available to fund certain building projects as detailed in Appendix A.  This process requires the contractor to gain approval from the Commonwealth to use the Capital Improvements funds for a project.  If approval is denied, the improvement will be the financial responsibility of the contractor.</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G</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Should the position of Sales Manager identified in the table be defined in the section 2 or is this not a required position?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Sales Manager is not a position that is considered "Key" for purposes of Schedule G.</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services framework graphic notes "Exchange as a Service" as a capacity on-demand/additional service offering. This offering is not described anywhere else in schedule F. Please provide requirements and expectations around this service.</w:t>
            </w:r>
          </w:p>
        </w:tc>
        <w:tc>
          <w:tcPr>
            <w:tcW w:w="6030" w:type="dxa"/>
            <w:tcBorders>
              <w:top w:val="nil"/>
              <w:left w:val="nil"/>
              <w:bottom w:val="single" w:sz="4" w:space="0" w:color="auto"/>
              <w:right w:val="single" w:sz="4" w:space="0" w:color="auto"/>
            </w:tcBorders>
            <w:shd w:val="clear" w:color="auto" w:fill="auto"/>
            <w:hideMark/>
          </w:tcPr>
          <w:p w:rsidR="00961AA2" w:rsidRPr="00F46CA1" w:rsidRDefault="004229EA" w:rsidP="00B3699F">
            <w:pPr>
              <w:tabs>
                <w:tab w:val="center" w:pos="4680"/>
                <w:tab w:val="right" w:pos="9360"/>
              </w:tabs>
              <w:rPr>
                <w:rFonts w:eastAsia="Times New Roman"/>
                <w:strike/>
                <w:color w:val="FF0000"/>
                <w:sz w:val="18"/>
                <w:szCs w:val="18"/>
              </w:rPr>
            </w:pPr>
            <w:r w:rsidRPr="004229EA">
              <w:rPr>
                <w:rFonts w:eastAsia="Times New Roman"/>
                <w:strike/>
                <w:color w:val="FF0000"/>
                <w:sz w:val="18"/>
                <w:szCs w:val="18"/>
              </w:rPr>
              <w:t>Schedule F has been amended and reissued to include requirements.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Tab 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Month 26 is missing.  Please provide a revised version of the price volume template with this month included in the detail and relevant calculations.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I has been amended and reissued.</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calculations do not align with the definition of availability since the period of comparison is not the available time; instead the formula suggests that all applications are available 24x7 with no downtime for maintenance.  Please clarify.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Scheduled and approved downtime will be deducted from the formula.  The ITIL Infrastructure Change Management Procedures must be defined and followed.</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3.2.1.5.1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pricing sheet has no place to enter the cost of the technical refresh. Is it the intention of the Commonwealth to include the technical refresh in the monthly RU?  Or is Technical refresh to be considered a Project completed on a time and material basis?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Since the selected Offeror is providing a service, any refreshes are the responsibility of the Offeror and should be part of the rate that is being charged for the service.</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are the responsibilities of the Offerors for remediating or addressing application latency issues that arise by relocations from the current sites? Please provide a list of applications and a description of the latency problem to which each may be subject.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Some of the applications currently communicate through a shared core switch to minimize latency. The Offeror must provide the same level of network optimization, or better, as exists today.  The Offeror must assist the Commonwealth with remediation of issues through analysis of network traffic and server performance.</w:t>
            </w:r>
            <w:r w:rsidRPr="008A1635">
              <w:rPr>
                <w:rFonts w:eastAsia="Times New Roman"/>
                <w:sz w:val="18"/>
                <w:szCs w:val="18"/>
              </w:rPr>
              <w:br/>
            </w:r>
            <w:r w:rsidRPr="008A1635">
              <w:rPr>
                <w:rFonts w:eastAsia="Times New Roman"/>
                <w:sz w:val="18"/>
                <w:szCs w:val="18"/>
              </w:rPr>
              <w:br/>
              <w:t>The Commonwealth currently is not experiencing any latency issues and is unable to anticipate which applications might experience latency issue post transition.</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G</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Should the position of Sales Support Technical Engineer be defined in section 2 or is this not a required position?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"Sales Support Technical Engineer" position has been removed from Schedule G.  Schedule G has been reissued.</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1.Volumemetrics</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Lines 216-217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Having tape capacity of about 1 times disk space does not conform to industry standards of having tape capacity of about 15 times disk space.  Is this what the Commonwealth wants?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1 times disk space is the minimum acceptable by the Commonwealth. The Offeror must provide sufficient tape capacity to service the Commonwealth and meet the SLAs.  </w:t>
            </w:r>
          </w:p>
        </w:tc>
      </w:tr>
      <w:tr w:rsidR="00961AA2" w:rsidRPr="008156B5" w:rsidTr="00B3699F">
        <w:trPr>
          <w:cantSplit/>
          <w:trHeight w:val="31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III-4,C.1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Section C describes “Small Diverse Business (SDB) Participation”.  Section C.1 states that a business submitting a proposal as a prime contractor must perform “60% of the total contract value” to receive points for this criterion under “any” priority ranking.    Does the 60% requirement stated in this section only apply to SDB that are priming this opportunity or does the 60% requirement apply to all primes contractors?    If this statement applies to all prime contractors, please confirm that no SDB points will be awarded unless the prime contractor directly performs at least 60% of the total contract value of opportunity.</w:t>
            </w:r>
          </w:p>
        </w:tc>
        <w:tc>
          <w:tcPr>
            <w:tcW w:w="6030" w:type="dxa"/>
            <w:tcBorders>
              <w:top w:val="nil"/>
              <w:left w:val="nil"/>
              <w:bottom w:val="single" w:sz="4" w:space="0" w:color="auto"/>
              <w:right w:val="single" w:sz="4" w:space="0" w:color="auto"/>
            </w:tcBorders>
            <w:shd w:val="clear" w:color="auto" w:fill="auto"/>
            <w:hideMark/>
          </w:tcPr>
          <w:p w:rsidR="00961AA2" w:rsidRPr="001F6450" w:rsidRDefault="00961AA2" w:rsidP="00B3699F">
            <w:pPr>
              <w:rPr>
                <w:rFonts w:eastAsia="Times New Roman"/>
                <w:strike/>
                <w:color w:val="FF0000"/>
                <w:sz w:val="18"/>
                <w:szCs w:val="18"/>
              </w:rPr>
            </w:pPr>
            <w:r w:rsidRPr="001F6450">
              <w:rPr>
                <w:rFonts w:eastAsia="Times New Roman"/>
                <w:strike/>
                <w:color w:val="FF0000"/>
                <w:sz w:val="18"/>
                <w:szCs w:val="18"/>
              </w:rPr>
              <w:t>The 60% requirement stated in Part III-4 applies to all prime contractors.  No SDB points will be awarded to an Offeror unless the company serving as the prime contractor directly performs at least 60% of the total contract value.</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Schedule I</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Baseline Units - Volumetics shown in Schedule I do not increase as would be expected upon completion of Transition at Month 30.  Why is that?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cannot accurately estimate changes to the Volumetrics until a transition plan is finalized.  The Volumetrics in Schedule I are estimates and will be used for costing evaluation only.</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expectations around volumes expected by Additional Planning Services request type.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cannot estimate volumes for this requirement.</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Requirement # 12, states that “the Offeror must ensure that critical applications are not decoupled from key infrastructure components causing system latency.”    Please provide all agency application dependencies as well as any multi-agency application requirements to avoid system latency issues.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considers this a transition activity for the selected Offeror to determine during transition planning.</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details regarding the current status of agency compliance with all laws, regulations, and policies as they pertain to each agency.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continually reviews it compliance against laws and Commonwealth policies.  </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 (b)</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Commonwealth’s current disaster recovery planning methodology software?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currently does not have DR software.  This requirement exists to ensure the offeror will support any future DR software selected by the Commonwealth.</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 (a)</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define currency as N or N-1?</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defines currency in this reference as the a level of hardware or software that has not been discontinued by the manufactured.</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 what systems will this storage be attached?  What are the anticipated volumes?  What storage in current exhibits will be provided via this mechanism?</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desires the ability to attach any system that is compatible with the storage solution proposed.  The storage solution is to be determined by the Offeror.  The Commonwealth has not determined the anticipated volumes.  No storage in current exhibits will be provided via this mechanism.  The Commonwealth currently does not have this capability.</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 Transition Services</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141-155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        What does the Offeror have to demonstrate that a thorough latency strategy has been executed?  What is the expectation relative to Application Discovery?  Would CoPA entertain a low end validation tool to confirm manual data on application discovery and dependency mapping?  Are there any assumptions CoPA has relative to the methods of migrations (lift/shift, PTV)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does not have a “latency strategy” documented at this time.  The Commonwealth is willing to consider a “low end validation tool” to assist with discovery.  However, the “tool” must be approved by the Commonwealth before implementation.  The Commonwealth has no assumptions relative to methods of migration, but anticipates multiple methods of migrations to occur.</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 (b) (3)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Commonwealth provide a gap analysis indicating where noncompliance with federal and state mandated policies exists within the infrastructure vendor is expected to support, or will the vendor be able to assess this during the due diligence period and adjust price accordingly?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does not have an all-encompassing gap analysis indicating if any “noncompliance” exists.  This analysis may occur during the transition planning period; however, the selected Offeror will not have an opportunity to adjust pricing. </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45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average count of changes per month, for data center activity?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does not have an exact count of changes per month.  Between all seven in scope datacenters there are between 500 and 1,000 changes every month.  Please note that these changes may vary from rather small, such as applying an operating system patch or opening a firewall port, to very large installations of several racks of servers or application updates.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Has a set of “available specialized services” been defined?  Is it expected that “specialized services" will be built on a demand basis?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does not understand the intent of this question and the meaning of “built on a demand basis.”  Please clarify.</w:t>
            </w:r>
          </w:p>
        </w:tc>
      </w:tr>
      <w:tr w:rsidR="00961AA2" w:rsidRPr="008156B5" w:rsidTr="00B3699F">
        <w:trPr>
          <w:cantSplit/>
          <w:trHeight w:val="21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Multiple</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Multiple</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the second column within the tables, several requirements focused on regular reports switch from Effective Date + Number of Days to a reference of Weekly, Monthly, Quarterly.  Is the Commonwealth’s intension that the Offeror provides the procedure to produce the reports within the CCPM on the identified cycle or have the CCPM updated with requested reports on the identified cycle?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expects the deliverables to be accomplished per the schedules set forth in Schedule K.  If the requirement states that a deliverable must be performed monthly, then the Offeror must produce the deliverable every month.  The same applies to the other intervals.  The only one-time deliverables listed within Schedule K are those with a date or a single interval such as "Effective Date + 30 Days."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all Commonwealth service management processes been aligned with ITIL v3?  If not, which processes are aligned at this time?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has fully aligned Change Management with ITIL v3.  Implementation of the other ITIL processes are in progress at this time.</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ITIL transformation within the Commonwealth agencies needs to be supported or engaged by the Offeror?</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has implemented ITIL Change Management and is using a modified ITIL Incident Management process today.  The Offeror must support Incident Management, Change Management, Problem Management, CMDB, Service Level Management for all services provided within this contract.  However, the Offeror is not responsible for implementing ITIL within the Commonwealth, only supporting the processes defined by the Commonwealth.</w:t>
            </w:r>
          </w:p>
        </w:tc>
      </w:tr>
      <w:tr w:rsidR="00961AA2" w:rsidRPr="008156B5" w:rsidTr="00B3699F">
        <w:trPr>
          <w:cantSplit/>
          <w:trHeight w:val="40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With regards to Transition Services, what are the perceived/known limitations on behalf of the Commonwealth to support the Transition Service?  The Offeror must provide an estimate of any required Commonwealth resources, including the skills needed and the duration required for each of the resources required in order for the Offeror to implement its solution.  Please explain the statement that "Commonwealth expects to provide limited resources." What are the Commonwealth expectations in terms of man-time commitments and direct involvement with regard to application migration schedule development, application upgrades to support new hardware and operating systems required under requirements section (3.2.1.5.1 - Technology Refresh), applications testing, architectural design and approvals?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has limited staff available for the transitions related to this procurement.  The referenced statement is intended to set the expectation that the Commonwealth will assist the contractor with the Transition Services, but has limited resources available. Thus, the Offeror is to provide an estimate of the Commonwealth resources it believes would be helpful.</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  Exhibit D.7</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13(b)</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16-18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Has the Commonwealth evaluated or have an assessment of the EDC's tier rating? What is that assessment?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has not had a formal Tier Rating assessment.</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intend to hire a vendor to assist them with oversight of this project?  If so, what will be their role and when do you expect to have them under contract?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is considering an IV&amp;V vendor but at this time has not determined if one will be engaged.  Therefore, no determination of scope and role has been defined at this time.</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  Schedule J.2  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expect the bidder to improve the infrastructure configurations from those shown in Schedule I to meet the Service Levels?  The documented configurations lack the high availability components to meet the higher order Service Levels.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is procuring computing services.  The selected Offeror must configure its infrastructure to meet to the SLAs. </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Who (Commonwealth or vendor) is responsible to make any application changes caused by moving applications to a different data center site or issues related to re-hosting applications onto refreshed hardware?  For example, applications using hard coded IP addresses, application recompilations,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is responsible for application changes.</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 Requirement 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Commonwealth accept a DR tier that leverages lower level application environments that are used on a daily basis that will act as a DR platform when required as a cost savings consideration? For clarity, this translates to the unavailability of test environments to the agency during each DR testing and during an actual recovery.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recognizes this as an option for DR services.  This will be determined on an application-by-application basis.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Provide clarity on how the Commonwealth expects to procure this. (E.g. Subscription, duplicate of infra, etc.) Does this apply only to CoD or other service categories?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will procure DR Infrastructure On Demand in the same method used to procure all other services within this procurement.  The Commonwealth will place an order with the contractor and the contractor will deliver the service.</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SL20</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Verification that Formal RCAs are only required when requested by Authorized User. Who will be designated as Authorized Users?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will determine the authorized user list as part of transition.  </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does the Commonwealth consider to be reasonable timeframe to receive written acceptance regarding ready for use and user acceptance testing? At what level will such approvals be required i.e. system, application, agency,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will not unreasonably withhold or delay the acceptance or rejection of the Offeror’s written notice regarding “ready for use”.  The range may vary but will generally fail within two (2) days to two (2) weeks based on many factors such as required Commonwealth verifications, Commonwealth personnel availability, complexity of the new environment, etc.  </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Who is responsible for interruptions to the “application Infrastructure” caused by the Commonwealth applications or staff?</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would be responsible if the interruption was determined to be solely due to the actions of the Commonwealth.  Otherwise, the contractor would be responsible.</w:t>
            </w:r>
          </w:p>
        </w:tc>
      </w:tr>
      <w:tr w:rsidR="00961AA2" w:rsidRPr="008156B5" w:rsidTr="00B3699F">
        <w:trPr>
          <w:cantSplit/>
          <w:trHeight w:val="6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there a requirement to have dual connections for Commonwealth business partners to access to Commonwealth systems?  Please provide a list of business partners and associated volumes such as number of users connecting, duration of connections, size of data transfers, and other relevant information.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Commonwealth’s Business Partners (BP) provide the physical circuits to the Commonwealth’s BP network into the Commonwealth’s Co-Location space within the EDC and DPH.  The Business Partner determines the number, size and redundancy of the individual BP connections.  The Offeror must support these connections by providing Security, Access, and Network Connections to the Commonwealth Network, Floor/Cabinet Space, Cooling, and Power.  The Commonwealth or the Business Partner is financially responsible for these circuits.</w:t>
            </w:r>
            <w:r w:rsidRPr="008A1635">
              <w:rPr>
                <w:rFonts w:eastAsia="Times New Roman"/>
                <w:sz w:val="18"/>
                <w:szCs w:val="18"/>
              </w:rPr>
              <w:br/>
            </w:r>
            <w:r w:rsidRPr="008A1635">
              <w:rPr>
                <w:rFonts w:eastAsia="Times New Roman"/>
                <w:sz w:val="18"/>
                <w:szCs w:val="18"/>
              </w:rPr>
              <w:br/>
              <w:t>Currently there are 3.5 cabinets within the Co-Lo space in the EDC dedicated to the Business Partners containing 65 Business Partner connections to support within the EDC.  The DPH has 1 data circuit (to HP) for Business Partner connections.</w:t>
            </w:r>
            <w:r w:rsidRPr="008A1635">
              <w:rPr>
                <w:rFonts w:eastAsia="Times New Roman"/>
                <w:sz w:val="18"/>
                <w:szCs w:val="18"/>
              </w:rPr>
              <w:br/>
            </w:r>
            <w:r w:rsidRPr="008A1635">
              <w:rPr>
                <w:rFonts w:eastAsia="Times New Roman"/>
                <w:sz w:val="18"/>
                <w:szCs w:val="18"/>
              </w:rPr>
              <w:br/>
              <w:t>The following is the current list of BP circuits within the EDC and may be different at the time of transition:</w:t>
            </w:r>
            <w:r w:rsidRPr="008A1635">
              <w:rPr>
                <w:rFonts w:eastAsia="Times New Roman"/>
                <w:sz w:val="18"/>
                <w:szCs w:val="18"/>
              </w:rPr>
              <w:br/>
            </w:r>
            <w:r w:rsidRPr="008A1635">
              <w:rPr>
                <w:rFonts w:eastAsia="Times New Roman"/>
                <w:sz w:val="18"/>
                <w:szCs w:val="18"/>
              </w:rPr>
              <w:br/>
              <w:t>Xerox/EBT – 2 Data Circuits, 1 Analog Circuit;  FDCS/PNC Bank – 2 Data Circuits; Telvent/TrafficLand – 1 MPLS Ethernet Data Circuit;  DTCC – 1 Data Circuit, 1 Analog Circuit;  ITG (formerly MacGregor (MFN)) – 1 Data Circuit; Thomson Reuters/BT – 4 Data Circuits ; SGI – 1 Data Circuit ; PNC Bank – 1 Data Circuit, 1 Analog Circuit; GTECH/Central Control System – 1 Data Circuit;  DST/Gateway – 1 Data Circuit, 1 Analog Circuit;  Highmark – 1 Data Circuit;  L-1 Identity Solutions (formerly IBT, Identix) – 1 Data Circuit; OMAP/APS – 1 Data Circuit, 1 Analog Circuit;  UHC/Verizon Business – 1 Data Circuit, 1 Analog Circuit;  DOLNet/BLS – 1 Data Circuit, 1 Analog Circuit;  Xerox/UI-ICON – 1 Data Circuit; IBM Remote Management – 2 Data Circuits, 1 Analog Circuit; AAMVA – 2 Data Circuits, 2 Analog Circuits;  Assurant – 1 Data Circuit; AT&amp;T Messenger Services Network – 3 Data Circuits; IRS – 1 Data Circuit, 1 Analog Circuit; TitleNGo (PA Messenger Solutions) (JEBTech/Gatekeeper) – 2 Data Circuits; Verizon Business/Emissions Service – 2 Data Circuits;  Xerox (formerly ACS)/Customer Call Center – 2 Data Circuits;  Bloomberg – 8 Data Circuits; Financial Control Systems – 1 Data Circuit;  BNY Mellon – 2 Data Circuits, 1 Analog Circuit;  Trustmark Insurance/CoreSource – 1 Data Circuit, 1 Analog Circuit; Vitech – 1 MPLS Data Circuit;  FMS/TOP – 1 Data Circuit; IO/Enterprise Networks – 2 Analog Circuits</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3.2.1.7</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As it relates to Configuration Management: What is the Commonwealth's current CMDB?  What is meant by an electronic interface?  Is an electronic copy/extract considered sufficient or must this be a transaction by transaction interface? What product / database is the Commonwealth using for its CMDB?</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Commonwealth’s current CMDB is the BMC Remedy CMDB hosted within the Enterprise Remedy System.  The data is housed within a Microsoft SQL Database located within the EDC.  The Offeror is to provide updates to the CMDB directly from the Offeror’s ITSM system on a regular basis.</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3.2.1.7</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more information regarding the Commonwealth's existing CMDB. Are all CIs under the scope of this contract currently documented in the Commonwealth CMDB? Has the CMDB recently been audited for accuracy?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The Commonwealth's CMDB is not complete.</w:t>
            </w:r>
            <w:r w:rsidRPr="008A1635">
              <w:rPr>
                <w:rFonts w:eastAsia="Times New Roman"/>
                <w:sz w:val="18"/>
                <w:szCs w:val="18"/>
              </w:rPr>
              <w:br/>
            </w:r>
            <w:r w:rsidRPr="008A1635">
              <w:rPr>
                <w:rFonts w:eastAsia="Times New Roman"/>
                <w:sz w:val="18"/>
                <w:szCs w:val="18"/>
              </w:rPr>
              <w:br/>
              <w:t>The Commonwealth's CMDD has not been audited.</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3.2.1.4-11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As it relates to reporting on "Key issues relating to Service Desk processes, improvements, script development." What is the expectation regarding script development?   Is this related to monitoring scripts, data collection scripts, or incident/problem resolution scripts?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contractor must provide and continually improve the incident/problem scripts used by the helpdesk agents when a Commonwealth representative contacts the Services Desk.</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section states “The Offeror must address in its design how it will create a target environment that will minimize application latency concerns”.    If latency issues are introduced as part of the existing data center migrations to new facilities, who is financially responsible for resolving such issues, the Service Provider or the Commonwealth?</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contractor must provide the infrastructure to support the Commonwealth's applications.  Application changes are not always possible.  Therefore, it is the Offerors responsibility to resolve the issue.</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the Commonwealth indicate the process that will be used to gain stakeholder approval from agency personnel in terms of format and duration for approval?</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contractor will submit a proposed architecture with anticipated costs to the respective application owner and OA-OIT.  Then the application owner and OA-OIT will review, discuss, modify and approve or deny the architecture.  The duration of this process is dependent on many factors including but not limited to the complexity of the proposed architecture and the availability of Commonwealth resources.  Therefore, a set duration is not available.</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Based on the statement in this section “The Commonwealth will provide the Offeror with a list of agency applications that require a DR solution and related DR plan after contract is awarded . “ Are we to consider the data provided in Exhibit B.5 to be complete?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data provided within Exhibit B.5 is the list of current DR solutions provided at this time.  Additional applications may require DR. The selected Offeror must provide DR to any application that the Commonwealth orders with DR.</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2.3.4 Data Protection</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11-Oct</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DLI is shown as Group 2 Transition and the other agencies (DPW, DOR, DOH and PSP) are shown as Group 3 Transition.  Both groups are due to be completed within 30 months of contract start.  What is the difference between the transition groups?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datacenter for the Department of Labor and Industry has special power considerations, as a result, the Commonwealth wants to track the transition separately from the other transitions.</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  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12(d)(2)  3.2.5.3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15  138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anticipate designating any dev/test/pre-production systems as DR recovery targets for any primary systems?     If so, are applicable SLAs waived for these DR target systems in their principal role as dev/test/preproduction until the End of the disaster?</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DR configuration described in this question is one possible solution. Whether it could be implemented  would be based on the requirements of the application owner.  No, there are no provisions within the RFP for SLA waivers in this situation.  The Offeror must support the subscribed to SLA for the "dev/test/pre-production" system.</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3.1.1, Multi Datacenter Environment (2+ Architecture)</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Pages 13 and 14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requirement in the matrix starts with number 3.  Are requirements 1 and 2 missing or is this matrix numbered incorrectly?  Would the Commonwealth please clarify?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matrix is numbered incorrectly.  Numbers 1 and 2 are not used, which means that the matrix begins with number 3.  There is no information missing.</w:t>
            </w:r>
          </w:p>
        </w:tc>
      </w:tr>
      <w:tr w:rsidR="00961AA2" w:rsidRPr="008156B5" w:rsidTr="00B3699F">
        <w:trPr>
          <w:cantSplit/>
          <w:trHeight w:val="24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D</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M4, M9</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2, 4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Both the Due Diligence and the ITSM System Integration milestones must be completed in 180 days.  M4 includes as a bullet point “completion of data gathering on B2B interface to Enterprise Remedy, within the 180 day, and M9 requires that completion and acceptance of Integration between Enterprise Remedy and the Offeror’s ITSM system within the 180 days.  Shouldn’t M9 allow for the data gathering to be completed first, and thus the timeframe for M9 be greater than 180 day?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Milestones set out in Schedule D may be satisfied at any time prior to the Milestone Due Dates. </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D</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M4, M5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2, 4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Both the Due Diligence and the Detailed Transition Plan milestones must be completed in 180 days.  M5 has a direct dependency on the completion and acceptance of the Due Diligence deliverable.  Shouldn’t M5 allow for the data gathering to be completed first, and thus the timeframe for M5 be greater than 180 days?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Milestones set out in Schedule D may be satisfied at any time prior to the Milestone Due Dates.  </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D</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M4-M5-M9</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 and 3</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It appears the delivery of the ITSM and Transition Project plans are due at the completion of the Due Diligence period all three are within 180 days of contract execution. Is this accurate or an oversight?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Milestones set out in Schedule D may be satisfied at any time prior to the Milestone due dates.  </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D</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Upon completion of due diligence, will the vendor have the option to modify other transition milestone deliverables that are due at the same time or prior to the completion of due diligence in accordance with results gathered during that process?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Milestones set out in Schedule D may be satisfied at any time prior to the Milestone due dates.  Refer to Section 27 (Change Control) of Appendix A regarding modifications to the milestone due dates.</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content does the Commonwealth envision including for agency use in the KMP and what responsibility will Offeror have regarding this content?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must provide this portal. The information content will include but is not limited to:  run-book type information for each application, service level and other management reports,  configuration information that is relevant to the services provided,  contact and escalation lists, process and procedure manual , project plans, and  other information related to the contract and services.  The Offeror will provide the portal and provide multiple levels of security for access to the information stored within.  Also, the Offeror must provide the information related to the managed services provided as defined by the application owners and the Commonwealth's program office.  There is to be multiple levels of access as determined by the Commonwealth.</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3.2.1.8.3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expect the Offeror to track application software licensing or   infrastructure related software only?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must track only the software licensing for the infrastructure included within this procurement.</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50</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definition of industry standard software to contain the service catalog?</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must use a software package that is generally available for any US company to purchase and implement.  A custom designed and written application is not acceptable.</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3.2.2.4 DR Planning &amp; Testing</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72-75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From item #8: “At a minimum, the Offeror shall support annual and semi-annual DR exercises.”  So, which is it?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Offeror should plan that some applications will require an annual exercise and some will require semi-annual.  Frequency of DR exercises will be at the discretion of the Commonwealth.  </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D-02.39</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 expectation that the Offeror provide the procedures to produce the audit report or present the report as the Offeror will not have full responsibility for systems at 60 days past effective date.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will provide the methodology to produce the audit report within the "Effective Date +60 Days" requirement.  This is also the same for Deliverables D-02.39, D-02.44, and D-02.49.  Schedule K has been revised and reissued.</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As it relates to the "Offeror must provide an Internet accessible KMP as a central repository for processes and procedures, communications plans, and other relevant documentation to be shared with the Commonwealth"     What level of security will be required for this internet facing Knowledge Management Portal?   Will two factor authentications be the standard?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portal must be capable, at a minimum, of being secured at the folder level by user.  Secure information must be able to be limited to a few authorized people where other information should be available to full list of authorized users at the Commonwealth.  The Commonwealth will establish an authorizing process as part of transition.</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22c</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you please elaborate on the Commonwealth’s requirement that the Commonwealth will pay monthly invoice only if Commonwealth accepts our services with WRITTEN notice?  How will this action be performed?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process will be determined with the selected Offeror as part of CCPM creation.  The Commonwealth anticipates that the invoice would be submitted as an order online via Remedy and if the service is accepted by the Commonwealth, an acknowledgement will be forwarded via Remedy to the contractor.</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does this activity impact out of scope facilities such as Selinsgrove and the Reading PA DR location?    How will schedule conflicts be handled?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referenced locations will be vacated once the Services under the contract have been fully transitioned.  As a result, there should not be any schedule conflicts.</w:t>
            </w:r>
          </w:p>
        </w:tc>
      </w:tr>
      <w:tr w:rsidR="00961AA2" w:rsidRPr="008156B5" w:rsidTr="00B3699F">
        <w:trPr>
          <w:cantSplit/>
          <w:trHeight w:val="19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 Capacity on Demand Services</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133-141</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Regarding the Capacity on Demand Services, are they subject to all the requirements described elsewhere in the SOW?  For example, do all the Security Management requirements apply to systems in the Cloud.  Typically, the Cloud is used for quick implementation and cost effective support of systems with a lesser set of requirements, such as development and test machines.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requirements specified within the RFP apply to all services, including Capacity on Demand Services.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 (a)</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responsibility for all costs associated with transition also include covering the costs for Commonwealth application support resources during the relocation phases?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will not be responsible for modifying an application.  The selected Offeror, will, however, responsible to provide the infrastructure that is required for the application to operate at the  performance levels maintained before transition to the Offeror's services.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Tab 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Offeror add a new item to the services catalog and the SLA matrix every time a new configuration is used/requested?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Service Catalog should be unit based to allow for agencies to order configuration changes without adding items to the Catalog.  If a new service needs to be added then the Catalog, service descriptions and SLAs may need to be altered.</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 the applications have architectures that permit this type of SLA to be measured? What is the nature of the measurement that will suitably capture "availability"? Is that measurement identical for all applications?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SLA is on the services provided by the Offeror. The CMDB must identify all infrastructure components used to provide that service and must be identified on an application basis.  Therefore, the SLA is on the sum of the infrastructure components.</w:t>
            </w:r>
          </w:p>
        </w:tc>
      </w:tr>
      <w:tr w:rsidR="00961AA2" w:rsidRPr="008156B5" w:rsidTr="00B3699F">
        <w:trPr>
          <w:cantSplit/>
          <w:trHeight w:val="24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Requirement 1 states a need to not just monitor batch but also appears to require problem determination for “abnormal conditions” and rerun.  This section also states that any abnormal condition that cannot be corrected will be referred to “technical support staff for resolution”.    Is the technical support staff reference in this section the Commonwealth application technical support staff responsible for the application batch jobs or the Service Provider’s technical staff?</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technical staff responsible for investigating and resolving the “abnormal conditions” would be based on the results of initial troubleshooting and triage.  The contractor is responsible to perform the initial triage and determine if the issue is potentially caused by an area managed by the contractor.  If so, then the contractor is responsible to resolve the issue.  If the troubleshooting determines it is an application issue, the contractor must contact the assigned application point of contact and assign the incident to the Commonwealth.  The contractor must support the application support team in continued troubleshooting and resolution while maintaining a running log of events within the ITSM system.</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When providing the multiple environments, does the Commonwealth require physical separation or will logical segregation and physical separation, where required by regulations and statutes be acceptable?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type of separation required for each environment will be determined by IT policy or requirements of the application owner.  This will be determined during transition planning on an application by application basis.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G.12  , PSP - CHRIA Handbook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document is missing the charts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There are no charts in Exhibit G.12 and the version provided is the current version issued by the Pennsylvania Office of Attorney General.</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any of the cells in the cost matrix being weighted with greater value as part of the overall cost evaluation?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There are no minimum consumption parameters included in the contract. The volumes provided in Schedule I will be used to evaluate the cost portion of the RFP and are not a minimum commitment nor an all-inclusive list of  services desired by the Commonwealth. </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Type of Contract is consumption-based model, then are there minimum consumption parameters that will be included in the contract?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There are no minimum consumption parameters included in the contract. The volumes provided in Schedule I will be used to evaluate the cost portion of the RFP and are not a minimum commitment nor an all-inclusive list of  services desired by the Commonwealth. </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2.3.2</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Regarding the migration to IPv6, is there any federal or state deadline set for specific agencies to be migrated to IPv6?</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There is no federal or state deadline for specific agencies to be migrated to IPv6 at this time.</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J.2</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SL29</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Batch Processing</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documentation be provided that gives specific details regarding the batch environment?  There is nothing listed in the expected Exhibits related to batch.</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information will be provided as part of Transition planning.</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t>
            </w:r>
            <w:r w:rsidRPr="008A1635">
              <w:rPr>
                <w:rFonts w:eastAsia="Times New Roman"/>
                <w:i/>
                <w:iCs/>
                <w:color w:val="000000"/>
                <w:sz w:val="18"/>
                <w:szCs w:val="18"/>
              </w:rPr>
              <w:t>The cost for those Services must remain less than the cost the Commonwealth would have incurred for providing the same infrastructure itself.</w:t>
            </w:r>
            <w:r w:rsidRPr="008A1635">
              <w:rPr>
                <w:rFonts w:eastAsia="Times New Roman"/>
                <w:color w:val="000000"/>
                <w:sz w:val="18"/>
                <w:szCs w:val="18"/>
              </w:rPr>
              <w:t>”  How is this calculated by the Commonwealth?  Does the commonwealth have costs per service already defined, and does it include Power, Networking, Maintenance, Hardware replacement, Security,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requirement is intended to encourage Offerors to be aggressive in providing low cost / high quality services to the Commonwealth.  The Commonwealth will not provide the current budget or spend on services requested within this RFP.</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Commonwealth states “The cost for those Services must remain less than the cost the Commonwealth would have incurred for providing the same infrastructure itself.” To meet this requirement, please provide the current cost baseline cost that the Commonwealth will use to measure against and the make-up up of the current cost baseline.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requirement is intended to encourage Offerors to be aggressive in providing low cost / high quality services to the Commonwealth.  The Commonwealth will not provide the current budget or spend on services requested within this RFP.</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elaborate on the (3) Service Level Defaults in (6) month period. Is this referring to (3) repeated occurrences of the same default or (3) defaults across the enterprise in total?</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section is referring to (3) repeated occurrences of the same default.</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Which applications are expected to run at the various SLAs today and will be in the various levels coming/wanted?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will be determined as part of the transition planning and will be on an application-by-application basis.</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requirement 3, is there a relationship between the storage approach types (Basic, Committed and Dedicated) and the Storage Tiers in Schedule I (Pricing)?  If so, what is the breakdown of the volumes in Schedule I to the storage approach types?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will be determined as part of the Transition Planning and will be on an application-by-application basis.</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Through-out</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are Commonwealth induced or required delays to be accommodated within these deliverable due dates? For example, several deliverables listed require approval and review before a follow-on deliverable can be completed (e.g. D-02.04 and D-02.05 or D-02.09 and D-02.10).</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Unless otherwise set forth in the CPPM, the Commonwealth will review deliverables according to the timeframes set forth in Section 22 (Inspection and Acceptance) of Appendix A. </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 Offeror expected to reuse any Commonwealth owned hardware and software?  Are there any restrictions on the reuse of Commonwealth owned hardware e.g. hardware owned by a specific agency can only be used by the owning agency?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With the application owner's approval, consolidation may be possible.</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 SLAs apply during a declared disaster?</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G</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There are inconsistencies noted between the requirements and the Offeror key personnel table entries. Is the Account Executive actually the Engagement Executive?</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"Account Executive" and  "Engagement Executive" refer to the same position. Schedule G has been reissued.</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any agency that is currently included in scope of this RFP decide not to participate once bids are submitted?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an agency may choose not to participate.</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agencies be able to request deviations from standard services processes used for all agencies?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however, standard processes must be developed to encompass all reasonable needs of the agencies; thus few exceptions should be required.</w:t>
            </w:r>
          </w:p>
        </w:tc>
      </w:tr>
      <w:tr w:rsidR="00961AA2" w:rsidRPr="008156B5" w:rsidTr="00B3699F">
        <w:trPr>
          <w:cantSplit/>
          <w:trHeight w:val="120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With regards to supporting multiple security and network zones to support specific agency requirements, other than logical VLAN separation, is there an expectation on behalf of the Commonwealth that multiple physical networks be created?</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in some cases.  Multiple physical networks must be created if required by law, IT policy, or an RFP requirement.</w:t>
            </w:r>
          </w:p>
        </w:tc>
      </w:tr>
      <w:tr w:rsidR="00961AA2" w:rsidRPr="008156B5" w:rsidTr="00B3699F">
        <w:trPr>
          <w:cantSplit/>
          <w:trHeight w:val="16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K</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verify – the Data Power House ACD Call volumes shown in the table are not included in the DPH line item volumes in the Table on page 11.</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 ACD Call volumes are included in the Incident volumes.  Not every ACD call is an Incident creation event.    The call volumes provided in Exhibit K include opening an Incident, requesting and providing updates to open Incidents, and conversations on delivery of capabilities, and general questions.     Incidents may, however, be requested by the Commonwealth in other means which may include email, meetings, escalations. The incumbent may also create an Incident from the incumbents’ monitoring system results or through direct reports.  Therefore, the number of calls do not have a direct correlation to the number of Incidents.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116</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d.x  edc</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EDC Facility  Summary</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there multiple data feeds into the building with diverse entry points and meet me locations?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there are multiple diverse data feeds, entry points and meet me location at the EDC.</w:t>
            </w:r>
          </w:p>
        </w:tc>
      </w:tr>
      <w:tr w:rsidR="00961AA2" w:rsidRPr="008156B5" w:rsidTr="00B3699F">
        <w:trPr>
          <w:cantSplit/>
          <w:trHeight w:val="26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117</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EDC tour  Exhibit D.7 EDC Facility Summary and Requirements  Facilities - Architecture</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there existing service / warranty agreements for the generator, transfer switches, batteries, UPS switch gear and PDU/ RPPS?  What is the length of warranty or service for these devices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Yes, there is a current service agreement in place for the refaced power components. </w:t>
            </w:r>
            <w:r w:rsidRPr="008A1635">
              <w:rPr>
                <w:rFonts w:eastAsia="Times New Roman"/>
                <w:sz w:val="18"/>
                <w:szCs w:val="18"/>
              </w:rPr>
              <w:br/>
            </w:r>
            <w:r w:rsidRPr="008A1635">
              <w:rPr>
                <w:rFonts w:eastAsia="Times New Roman"/>
                <w:sz w:val="18"/>
                <w:szCs w:val="18"/>
              </w:rPr>
              <w:br/>
              <w:t>Current service agreements through 6/31/13.</w:t>
            </w:r>
          </w:p>
        </w:tc>
      </w:tr>
      <w:tr w:rsidR="00961AA2" w:rsidRPr="008156B5" w:rsidTr="00B3699F">
        <w:trPr>
          <w:cantSplit/>
          <w:trHeight w:val="26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118</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EDC tour  Exhibit D.7 EDC Facility Summary and Requirements  Facilities - Architecture</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there an existing service agreement for the fire protection system?  Has it been in continuous effect since installation?  With the same service supplier?</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there is an existing service agreement.</w:t>
            </w:r>
            <w:r w:rsidRPr="008A1635">
              <w:rPr>
                <w:rFonts w:eastAsia="Times New Roman"/>
                <w:sz w:val="18"/>
                <w:szCs w:val="18"/>
              </w:rPr>
              <w:br/>
              <w:t>Yes, an agreement has been in continuous effect since installation.</w:t>
            </w:r>
            <w:r w:rsidRPr="008A1635">
              <w:rPr>
                <w:rFonts w:eastAsia="Times New Roman"/>
                <w:sz w:val="18"/>
                <w:szCs w:val="18"/>
              </w:rPr>
              <w:br/>
              <w:t>No, there has been more than one service supplier.</w:t>
            </w:r>
          </w:p>
        </w:tc>
      </w:tr>
      <w:tr w:rsidR="00961AA2" w:rsidRPr="008156B5" w:rsidTr="00B3699F">
        <w:trPr>
          <w:cantSplit/>
          <w:trHeight w:val="48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119</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section refers to Severity Levels. Should it be referring to Priority Levels?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120</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3.2.4.7</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scope of the Database Management optional service include both physical and logical database administration?</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121</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3.2.5.3</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138</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DR services expected to be limited to the same class of service as the primary system's class of service (fully-managed, managed only, etc.)?</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w:t>
            </w:r>
          </w:p>
        </w:tc>
      </w:tr>
      <w:tr w:rsidR="00961AA2" w:rsidRPr="008156B5" w:rsidTr="00B3699F">
        <w:trPr>
          <w:cantSplit/>
          <w:trHeight w:val="72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122</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133-139</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any critical applications be hosted in or permitted in the Capacity-On-Demand environment?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Critical applications will be permitted in the Capacity on Demand environment.</w:t>
            </w:r>
          </w:p>
        </w:tc>
      </w:tr>
      <w:tr w:rsidR="00961AA2" w:rsidRPr="008156B5" w:rsidTr="00B3699F">
        <w:trPr>
          <w:cantSplit/>
          <w:trHeight w:val="144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123</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3.1.2 Network and Security Architecture</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HIDS required in the environment and if so which servers requires this support?</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 Offeror must provide HIDS per the individual agency’s requirements.</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124</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3.2.1.1.1</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request to integrate the financial management tool with the Commonwealth’s Remedy Billing module constitute part of the expected invoicing process?</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 selected Offeror must integrate its invoicing system into the Commonwealth’s enterprise remedy system.</w:t>
            </w:r>
          </w:p>
        </w:tc>
      </w:tr>
      <w:tr w:rsidR="00961AA2" w:rsidRPr="008156B5" w:rsidTr="00B3699F">
        <w:trPr>
          <w:cantSplit/>
          <w:trHeight w:val="960"/>
        </w:trPr>
        <w:tc>
          <w:tcPr>
            <w:tcW w:w="90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125</w:t>
            </w:r>
          </w:p>
        </w:tc>
        <w:tc>
          <w:tcPr>
            <w:tcW w:w="12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Should the fiber connection be delayed or any other required act by the Commonwealth, what impact does that have on the December 31, 2014 deadline including the $50M penalty?</w:t>
            </w:r>
          </w:p>
        </w:tc>
        <w:tc>
          <w:tcPr>
            <w:tcW w:w="60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following is a revised answer to Round 1 Part 2 Question 6.  </w:t>
            </w:r>
            <w:r w:rsidRPr="008A1635">
              <w:rPr>
                <w:rFonts w:eastAsia="Times New Roman"/>
                <w:sz w:val="18"/>
                <w:szCs w:val="18"/>
              </w:rPr>
              <w:br/>
            </w:r>
            <w:r w:rsidRPr="008A1635">
              <w:rPr>
                <w:rFonts w:eastAsia="Times New Roman"/>
                <w:sz w:val="18"/>
                <w:szCs w:val="18"/>
              </w:rPr>
              <w:br/>
              <w:t xml:space="preserve">The fiber connection is the responsibility of the Offeror.  The selected Offeror must meet the transition milestones. </w:t>
            </w:r>
          </w:p>
        </w:tc>
      </w:tr>
      <w:tr w:rsidR="00961AA2" w:rsidRPr="008156B5" w:rsidTr="00B3699F">
        <w:trPr>
          <w:cantSplit/>
          <w:trHeight w:val="2640"/>
        </w:trPr>
        <w:tc>
          <w:tcPr>
            <w:tcW w:w="909" w:type="dxa"/>
            <w:tcBorders>
              <w:top w:val="nil"/>
              <w:left w:val="single" w:sz="4" w:space="0" w:color="auto"/>
              <w:bottom w:val="single" w:sz="4" w:space="0" w:color="auto"/>
              <w:right w:val="single" w:sz="4" w:space="0" w:color="auto"/>
            </w:tcBorders>
            <w:shd w:val="clear" w:color="auto" w:fill="auto"/>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127</w:t>
            </w:r>
          </w:p>
        </w:tc>
        <w:tc>
          <w:tcPr>
            <w:tcW w:w="1216" w:type="dxa"/>
            <w:tcBorders>
              <w:top w:val="nil"/>
              <w:left w:val="nil"/>
              <w:bottom w:val="single" w:sz="4" w:space="0" w:color="auto"/>
              <w:right w:val="single" w:sz="4" w:space="0" w:color="auto"/>
            </w:tcBorders>
            <w:shd w:val="clear" w:color="auto" w:fill="auto"/>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EDC tour  Exhibit D.7 EDC Facility Summary and Requirements  Facilities - Architecture</w:t>
            </w:r>
          </w:p>
        </w:tc>
        <w:tc>
          <w:tcPr>
            <w:tcW w:w="1461" w:type="dxa"/>
            <w:tcBorders>
              <w:top w:val="nil"/>
              <w:left w:val="nil"/>
              <w:bottom w:val="single" w:sz="4" w:space="0" w:color="auto"/>
              <w:right w:val="single" w:sz="4" w:space="0" w:color="auto"/>
            </w:tcBorders>
            <w:shd w:val="clear" w:color="auto" w:fill="auto"/>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996" w:type="dxa"/>
            <w:tcBorders>
              <w:top w:val="nil"/>
              <w:left w:val="nil"/>
              <w:bottom w:val="single" w:sz="4" w:space="0" w:color="auto"/>
              <w:right w:val="single" w:sz="4" w:space="0" w:color="auto"/>
            </w:tcBorders>
            <w:shd w:val="clear" w:color="auto" w:fill="auto"/>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863" w:type="dxa"/>
            <w:tcBorders>
              <w:top w:val="nil"/>
              <w:left w:val="nil"/>
              <w:bottom w:val="single" w:sz="4" w:space="0" w:color="auto"/>
              <w:right w:val="single" w:sz="4" w:space="0" w:color="auto"/>
            </w:tcBorders>
            <w:shd w:val="clear" w:color="auto" w:fill="auto"/>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there attic stock available of ceiling tiles for use in the data center?  If yes, how many panels?</w:t>
            </w:r>
          </w:p>
        </w:tc>
        <w:tc>
          <w:tcPr>
            <w:tcW w:w="6030" w:type="dxa"/>
            <w:tcBorders>
              <w:top w:val="nil"/>
              <w:left w:val="nil"/>
              <w:bottom w:val="single" w:sz="4" w:space="0" w:color="auto"/>
              <w:right w:val="single" w:sz="4" w:space="0" w:color="auto"/>
            </w:tcBorders>
            <w:shd w:val="clear" w:color="auto" w:fill="auto"/>
          </w:tcPr>
          <w:p w:rsidR="00961AA2" w:rsidRPr="008A1635" w:rsidRDefault="00961AA2" w:rsidP="00B3699F">
            <w:pPr>
              <w:rPr>
                <w:rFonts w:eastAsia="Times New Roman"/>
                <w:sz w:val="18"/>
                <w:szCs w:val="18"/>
              </w:rPr>
            </w:pPr>
            <w:r w:rsidRPr="008A1635">
              <w:rPr>
                <w:rFonts w:eastAsia="Times New Roman"/>
                <w:sz w:val="18"/>
                <w:szCs w:val="18"/>
              </w:rPr>
              <w:t xml:space="preserve">The following is a revised answer to Round 1 Part 1 Question 113.  </w:t>
            </w:r>
            <w:r w:rsidRPr="008A1635">
              <w:rPr>
                <w:rFonts w:eastAsia="Times New Roman"/>
                <w:sz w:val="18"/>
                <w:szCs w:val="18"/>
              </w:rPr>
              <w:br/>
            </w:r>
            <w:r w:rsidRPr="008A1635">
              <w:rPr>
                <w:rFonts w:eastAsia="Times New Roman"/>
                <w:sz w:val="18"/>
                <w:szCs w:val="18"/>
              </w:rPr>
              <w:br/>
              <w:t>Yes, 13 panels.</w:t>
            </w:r>
          </w:p>
        </w:tc>
      </w:tr>
    </w:tbl>
    <w:p w:rsidR="00961AA2" w:rsidRDefault="00961AA2">
      <w:pPr>
        <w:rPr>
          <w:b/>
          <w:i/>
        </w:rPr>
      </w:pPr>
    </w:p>
    <w:p w:rsidR="00961AA2" w:rsidRDefault="00961AA2">
      <w:pPr>
        <w:rPr>
          <w:b/>
          <w:i/>
        </w:rPr>
      </w:pPr>
    </w:p>
    <w:p w:rsidR="00961AA2" w:rsidRDefault="00961AA2">
      <w:pPr>
        <w:rPr>
          <w:b/>
          <w:i/>
        </w:rPr>
      </w:pPr>
    </w:p>
    <w:p w:rsidR="00961AA2" w:rsidRDefault="00961AA2">
      <w:pPr>
        <w:rPr>
          <w:b/>
          <w:i/>
        </w:rPr>
      </w:pPr>
    </w:p>
    <w:p w:rsidR="00961AA2" w:rsidRDefault="00961AA2">
      <w:pPr>
        <w:rPr>
          <w:b/>
          <w:i/>
        </w:rPr>
      </w:pPr>
    </w:p>
    <w:tbl>
      <w:tblPr>
        <w:tblW w:w="174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893"/>
        <w:gridCol w:w="1436"/>
        <w:gridCol w:w="1456"/>
        <w:gridCol w:w="984"/>
        <w:gridCol w:w="3754"/>
        <w:gridCol w:w="8952"/>
      </w:tblGrid>
      <w:tr w:rsidR="00961AA2" w:rsidRPr="009E4812" w:rsidTr="00B3699F">
        <w:trPr>
          <w:cantSplit/>
          <w:trHeight w:val="240"/>
          <w:tblHeader/>
        </w:trPr>
        <w:tc>
          <w:tcPr>
            <w:tcW w:w="17475" w:type="dxa"/>
            <w:gridSpan w:val="6"/>
            <w:shd w:val="clear" w:color="auto" w:fill="C6D9F1" w:themeFill="text2" w:themeFillTint="33"/>
          </w:tcPr>
          <w:p w:rsidR="00961AA2" w:rsidRPr="008A1635" w:rsidRDefault="00961AA2" w:rsidP="00B3699F">
            <w:pPr>
              <w:rPr>
                <w:rFonts w:eastAsia="Times New Roman"/>
                <w:b/>
                <w:bCs/>
                <w:sz w:val="18"/>
                <w:szCs w:val="18"/>
              </w:rPr>
            </w:pPr>
            <w:r w:rsidRPr="008A1635">
              <w:rPr>
                <w:b/>
                <w:i/>
                <w:sz w:val="18"/>
                <w:szCs w:val="18"/>
              </w:rPr>
              <w:t>Addendum 8 - Round 1, Part 4</w:t>
            </w:r>
          </w:p>
        </w:tc>
      </w:tr>
      <w:tr w:rsidR="00961AA2" w:rsidRPr="009E4812" w:rsidTr="00B3699F">
        <w:trPr>
          <w:cantSplit/>
          <w:trHeight w:val="240"/>
          <w:tblHeader/>
        </w:trPr>
        <w:tc>
          <w:tcPr>
            <w:tcW w:w="893" w:type="dxa"/>
            <w:shd w:val="clear" w:color="auto" w:fill="C6D9F1" w:themeFill="text2" w:themeFillTint="33"/>
            <w:hideMark/>
          </w:tcPr>
          <w:p w:rsidR="00961AA2" w:rsidRPr="008A1635" w:rsidRDefault="00961AA2" w:rsidP="00B3699F">
            <w:pPr>
              <w:rPr>
                <w:rFonts w:eastAsia="Times New Roman"/>
                <w:b/>
                <w:bCs/>
                <w:color w:val="000000"/>
                <w:sz w:val="18"/>
                <w:szCs w:val="18"/>
              </w:rPr>
            </w:pPr>
          </w:p>
        </w:tc>
        <w:tc>
          <w:tcPr>
            <w:tcW w:w="1436" w:type="dxa"/>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1456" w:type="dxa"/>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984" w:type="dxa"/>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3754" w:type="dxa"/>
            <w:shd w:val="clear" w:color="auto"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8952" w:type="dxa"/>
            <w:shd w:val="clear" w:color="auto" w:fill="C6D9F1" w:themeFill="text2" w:themeFillTint="33"/>
            <w:hideMark/>
          </w:tcPr>
          <w:p w:rsidR="00961AA2" w:rsidRPr="008A1635" w:rsidRDefault="00961AA2" w:rsidP="00B3699F">
            <w:pPr>
              <w:rPr>
                <w:rFonts w:eastAsia="Times New Roman"/>
                <w:b/>
                <w:bCs/>
                <w:sz w:val="18"/>
                <w:szCs w:val="18"/>
              </w:rPr>
            </w:pPr>
            <w:r w:rsidRPr="008A1635">
              <w:rPr>
                <w:rFonts w:eastAsia="Times New Roman"/>
                <w:b/>
                <w:bCs/>
                <w:sz w:val="18"/>
                <w:szCs w:val="18"/>
              </w:rPr>
              <w:t>Answer</w:t>
            </w:r>
          </w:p>
        </w:tc>
      </w:tr>
      <w:tr w:rsidR="00961AA2" w:rsidRPr="009E4812" w:rsidTr="00B3699F">
        <w:trPr>
          <w:cantSplit/>
          <w:trHeight w:val="240"/>
        </w:trPr>
        <w:tc>
          <w:tcPr>
            <w:tcW w:w="893" w:type="dxa"/>
            <w:shd w:val="clear" w:color="auto" w:fill="FFFFFF"/>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w:t>
            </w:r>
          </w:p>
        </w:tc>
        <w:tc>
          <w:tcPr>
            <w:tcW w:w="1436" w:type="dxa"/>
            <w:shd w:val="clear" w:color="auto" w:fill="FFFFFF"/>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1456" w:type="dxa"/>
            <w:shd w:val="clear" w:color="auto" w:fill="FFFFFF"/>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SL12</w:t>
            </w:r>
          </w:p>
        </w:tc>
        <w:tc>
          <w:tcPr>
            <w:tcW w:w="984" w:type="dxa"/>
            <w:shd w:val="clear" w:color="auto" w:fill="FFFFFF"/>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19</w:t>
            </w:r>
          </w:p>
        </w:tc>
        <w:tc>
          <w:tcPr>
            <w:tcW w:w="3754" w:type="dxa"/>
            <w:shd w:val="clear" w:color="auto" w:fill="FFFFFF"/>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Commonwealth’s definition for “viable proposal”? What measures constitute "viability"?</w:t>
            </w:r>
          </w:p>
        </w:tc>
        <w:tc>
          <w:tcPr>
            <w:tcW w:w="8952" w:type="dxa"/>
            <w:shd w:val="clear" w:color="auto" w:fill="FFFFFF"/>
          </w:tcPr>
          <w:p w:rsidR="00961AA2" w:rsidRPr="008A1635" w:rsidRDefault="00961AA2" w:rsidP="00B3699F">
            <w:pPr>
              <w:rPr>
                <w:rFonts w:eastAsia="Times New Roman"/>
                <w:bCs/>
                <w:sz w:val="18"/>
                <w:szCs w:val="18"/>
              </w:rPr>
            </w:pPr>
            <w:r w:rsidRPr="008A1635">
              <w:rPr>
                <w:rFonts w:eastAsia="Times New Roman"/>
                <w:bCs/>
                <w:sz w:val="18"/>
                <w:szCs w:val="18"/>
              </w:rPr>
              <w:t xml:space="preserve">A "viable proposal" for this SLA is a technically sound and complete proposal that includes enough details for the Commonwealth to place an order with the contractor.   The proposal must be able to be provided from the then current Catalog of Services (Schedule C).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32j</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Can you please define Proprietary Communications Network?</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A communications network that is not commercially available to the Commonwealth from multiple providers.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constitutes a complete request or acceptance?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A completed request is a request that has been completed by the contractor and has been turned over to the Commonwealth for validation.  An accepted request is a request that has been accepted by the Commonwealth.</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3.2.2.1</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type of peripherals does the Commonwealth currently use and expect to be moved as part of the Transition.  Who manages these peripherals today?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All known hardware including peripherals is included in the existing Exhibits.  Any additional peripherals will be discovered during the Transition planning stage of this procurement.  These peripherals are currently managed by the Commonwealth.</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3.2.5</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133</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In a cloud IaaS solution, particularly for Server Capacity, but in general, how important is portal access to the environment to the Commonwealth?  Can you rate as Critical, Important, or Optional?</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All of the RFP requirements are important to the Commonwealth.  The Commonwealth does not disclose detailed evaluation criteria.</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14 (c) (ii)</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Can you please elaborate on system degradation? Does the Commonwealth have a way to collect baseline measurements and have tolerances been defined to determine if system performance is degraded?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Baseline measurements will be established during the transition phase.  A service is degraded if it fails to meet the minimum baselines.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K</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 the Incident Volumes in the table include Requests?  Please provide a breakdown of call mix / call types.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Both requests and incidents are included in the table.  The Commonwealth does not currently have a breakdown of the information requested and, therefore, is not available to  provide it.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describe any cooling challenges/hotspots, if any.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Computer Room 1 may become warm if a unit is down for an extended period of time.  The area of warmth is generally limited to the area of the unit which is down.  No other issues are known.</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HA (High Availability) application DR solutions exist today?  Can the Commonwealth describe the technology and requirements around this requirement?  For example: Active-Active replication requirements between data centers?      What are the DR (Disaster Recovery) objectives for such HA solutions (RTO – Recovery Time Objective and RPO – Recovery Point Objective)?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Currently the Commonwealth has no applications designed for High Availability across multiple datacenters.  The Commonwealth desires the infrastructure to readily support HA across datacenters, thus allowing future development of this capability.  DR objectives are set on an application by application level and will be based on the needs of the application owner.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Which equipment in the EDC is powered by dual power connections?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Dual power connections are the standard in the EDC. Very few components have a single power supply.</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K</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an ACD analysis that shows hourly call arrival patterns for a representative week Sun-Sat.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See 6100022698 - Exhibit K - OA Enterprise Remedy and Volumetrics has been re-issued to provide this level of detail.  This is a confidential document.  To receive a copy, please contact Sheryl Kimport, the Issuing Officer.</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   COPA</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3.2.5.1 Server Capacity on Demand</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134</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Requirement #5 in this Section describes the desire for expedited service. How is expedited service defined?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Expedited service is the deployment of a service in an interval shorter than the standard interval identified in the service catalog.  These should occur rarely, however, there may be times that this is required due to a failure of another service/equipment or a requirement set upon the Commonwealth that is outside the Commonwealth’s control, such as one set by Federal  or Commonwealth law.</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SL29</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43</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 job failures include those where an application failure occurs and is the cause? How are such jobs to be counted for purposes of this SLA?</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Failures that are caused solely by an action or inaction of the Commonwealth would be excluded, including any failures related to software / application that is not the responsibility of the Offeror.</w:t>
            </w:r>
            <w:r w:rsidRPr="008A1635">
              <w:rPr>
                <w:rFonts w:eastAsia="Times New Roman"/>
                <w:bCs/>
                <w:sz w:val="18"/>
                <w:szCs w:val="18"/>
              </w:rPr>
              <w:br/>
            </w:r>
            <w:r w:rsidRPr="008A1635">
              <w:rPr>
                <w:rFonts w:eastAsia="Times New Roman"/>
                <w:bCs/>
                <w:sz w:val="18"/>
                <w:szCs w:val="18"/>
              </w:rPr>
              <w:br/>
              <w:t>The type of failures described here would be listed within the SLA Report but excluded from the calculations.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I</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 Volumetrics</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N/A</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Line 192-193 Tape Stored. Please clarify if volume is expressed as native or compressed (ratio) and if encrypted.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For Line 192-193 Tape Stored, the volume is expressed as native.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3.2.1.8</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60</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Reference: "The Offeror's 3rd Party License Management service must ensure accurate inventory and licensing compliance for all Offeror provided infrastructure software products."    Please provide license compliance report for all existing infrastructure software that will need to be supported by Offeror. (Or optionally, can Offeror assume all existing infrastructure software listed in RFP exhibits have full support till Dec 2014?)</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For purposes of submitting a proposal, Offerors may assume that all 3rd party software utilized within the DPH has full support through 12/31/2014.</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D</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Given the transition services and transition timeline to transition the EDC &amp; DPH by 12/31/2014 and the other data centers within 30 months from contract execution, and given the financial credits for not achieving those milestones, is the Commonwealth going to commit to a contract start date to provide visibility into a transition timeline?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For purposes of submitting a proposal, Offerors should assume an approximate contract start date of December 2013.  The actual start date may vary and will depend on a number of factors including the length of contract negotiations and the Commonwealth contract execution process.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 (General)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N/A</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N/A</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In order to provide accurate costing and schedules, please state the presumed start date of the contract.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For purposes of submitting a proposal, Offerors should assume an approximate contract start date of December 2013.  The actual start date may vary and will depend on a number of factors including the length of contract negotiations and the Commonwealth contract execution process.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3.2.5.5</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contract start date for cost/price purposes? July 1, 2013?</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For purposes of submitting a proposal, Offerors should assume an approximate contract start date of December 2013.  The actual start date may vary and will depend on a number of factors including the length of contract negotiations and the Commonwealth contract execution process.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Tour handout</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 of servers hosted vs the % of servers managed lite vs the % of servers managed full?</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Fully managed = 28%, Managed lite (up to O/S) = 58%, Hosted (Co-location) = 14%</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are agency schedule needs accommodated in the instance where those needs will delay or cause the delay in deliverables and milestones?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Identifying specific agency scheduling needs will be part of the transition planning.   The Commonwealth does not have enterprise-wide "No Maintenance" periods. Each "No Maintenance" period is requested and scheduled by the individual agency.  The Commonwealth does have several regularly scheduled "No Maintenance" periods every year.  Please refer to ITB-NET015 which describes the process for requesting a "No Maintenance" period and the Commonwealth's approved Enterprise Maintenance Windows.  See Exhibit O - 2012 Agency NMRs for the No Maintenance periods that occurred during 2012.  This is a confidential document.  To receive a copy, please contact Sheryl Kimport, the Issuing Officer.</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d.x  edc</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Facility  Summary</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Are the available power/cooling density (watts/sq') the same in both rooms?  What are your documented power/cooling densities?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It is not known whether the available power/cooling density is the same in both rooms.  The cooling densities are not documented.</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DPH - Asset List</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Can the Commonwealth provide more detail regarding the processors and peripherals listed in Exhibit B1?  Specifically--  For the mainframe processors (2817 and 2098): amount of processor storage (memory), number and type of specialty engines (IFL, zIIP, zAAP, etc.) and number and type of other adapters, such as FICON, ESCON, OSA, etc.  For DASD: amount of processor memory, number and type channel adapters, number of drive sets, function authorization (OEL, PTC, PAV, etc).  Tape: detailed configuration information for the 35xx and 39xx.</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Mainframes:  The 2817 and 2098 processors currently have a combined quantity of:</w:t>
            </w:r>
            <w:r w:rsidRPr="008A1635">
              <w:rPr>
                <w:rFonts w:eastAsia="Times New Roman"/>
                <w:bCs/>
                <w:sz w:val="18"/>
                <w:szCs w:val="18"/>
              </w:rPr>
              <w:br/>
              <w:t xml:space="preserve">144 GB Processor Storage (memory) + 24GB HSA; 8 - SAP; 5 - IFL; 1 - zIIP </w:t>
            </w:r>
            <w:r w:rsidRPr="008A1635">
              <w:rPr>
                <w:rFonts w:eastAsia="Times New Roman"/>
                <w:bCs/>
                <w:sz w:val="18"/>
                <w:szCs w:val="18"/>
              </w:rPr>
              <w:br/>
              <w:t>FICON - 88; ESCON - 172; OSA - 42</w:t>
            </w:r>
            <w:r w:rsidRPr="008A1635">
              <w:rPr>
                <w:rFonts w:eastAsia="Times New Roman"/>
                <w:bCs/>
                <w:sz w:val="18"/>
                <w:szCs w:val="18"/>
              </w:rPr>
              <w:br/>
            </w:r>
            <w:r w:rsidRPr="008A1635">
              <w:rPr>
                <w:rFonts w:eastAsia="Times New Roman"/>
                <w:bCs/>
                <w:sz w:val="18"/>
                <w:szCs w:val="18"/>
              </w:rPr>
              <w:br/>
              <w:t xml:space="preserve">DASD:  The combined quantity of DASD owned and operated by IBM:   </w:t>
            </w:r>
            <w:r w:rsidRPr="008A1635">
              <w:rPr>
                <w:rFonts w:eastAsia="Times New Roman"/>
                <w:bCs/>
                <w:sz w:val="18"/>
                <w:szCs w:val="18"/>
              </w:rPr>
              <w:br/>
              <w:t xml:space="preserve">  DASD 128 GB Processor Memory</w:t>
            </w:r>
            <w:r w:rsidRPr="008A1635">
              <w:rPr>
                <w:rFonts w:eastAsia="Times New Roman"/>
                <w:bCs/>
                <w:sz w:val="18"/>
                <w:szCs w:val="18"/>
              </w:rPr>
              <w:br/>
              <w:t xml:space="preserve">  (32) - 4GB FICON/FCP Adapters   </w:t>
            </w:r>
            <w:r w:rsidRPr="008A1635">
              <w:rPr>
                <w:rFonts w:eastAsia="Times New Roman"/>
                <w:bCs/>
                <w:sz w:val="18"/>
                <w:szCs w:val="18"/>
              </w:rPr>
              <w:br/>
              <w:t xml:space="preserve">  (14) - 146GB 15K Drive Sets</w:t>
            </w:r>
            <w:r w:rsidRPr="008A1635">
              <w:rPr>
                <w:rFonts w:eastAsia="Times New Roman"/>
                <w:bCs/>
                <w:sz w:val="18"/>
                <w:szCs w:val="18"/>
              </w:rPr>
              <w:br/>
              <w:t xml:space="preserve">  (2) - 300GB 15K Drive Sets  </w:t>
            </w:r>
            <w:r w:rsidRPr="008A1635">
              <w:rPr>
                <w:rFonts w:eastAsia="Times New Roman"/>
                <w:bCs/>
                <w:sz w:val="18"/>
                <w:szCs w:val="18"/>
              </w:rPr>
              <w:br/>
              <w:t xml:space="preserve">  Function Authorization includes: OEL, PTC, PAV,   HyperPAV, FICON Attachment</w:t>
            </w:r>
            <w:r w:rsidRPr="008A1635">
              <w:rPr>
                <w:rFonts w:eastAsia="Times New Roman"/>
                <w:bCs/>
                <w:sz w:val="18"/>
                <w:szCs w:val="18"/>
              </w:rPr>
              <w:br/>
            </w:r>
            <w:r w:rsidRPr="008A1635">
              <w:rPr>
                <w:rFonts w:eastAsia="Times New Roman"/>
                <w:bCs/>
                <w:sz w:val="18"/>
                <w:szCs w:val="18"/>
              </w:rPr>
              <w:br/>
              <w:t>*** DMX3  ****</w:t>
            </w:r>
            <w:r w:rsidRPr="008A1635">
              <w:rPr>
                <w:rFonts w:eastAsia="Times New Roman"/>
                <w:bCs/>
                <w:sz w:val="18"/>
                <w:szCs w:val="18"/>
              </w:rPr>
              <w:br/>
              <w:t xml:space="preserve"> Processor Memory: 256GB </w:t>
            </w:r>
            <w:r w:rsidRPr="008A1635">
              <w:rPr>
                <w:rFonts w:eastAsia="Times New Roman"/>
                <w:bCs/>
                <w:sz w:val="18"/>
                <w:szCs w:val="18"/>
              </w:rPr>
              <w:br/>
              <w:t xml:space="preserve">Type of Adaptors (Mainframe Only): Fiber Channel Adaptors (2Gb) </w:t>
            </w:r>
            <w:r w:rsidRPr="008A1635">
              <w:rPr>
                <w:rFonts w:eastAsia="Times New Roman"/>
                <w:bCs/>
                <w:sz w:val="18"/>
                <w:szCs w:val="18"/>
              </w:rPr>
              <w:br/>
              <w:t xml:space="preserve"> Number Adaptors (Mainframe Only): 32 </w:t>
            </w:r>
            <w:r w:rsidRPr="008A1635">
              <w:rPr>
                <w:rFonts w:eastAsia="Times New Roman"/>
                <w:bCs/>
                <w:sz w:val="18"/>
                <w:szCs w:val="18"/>
              </w:rPr>
              <w:br/>
              <w:t xml:space="preserve">Number of Drive Sets: 14 </w:t>
            </w:r>
            <w:r w:rsidRPr="008A1635">
              <w:rPr>
                <w:rFonts w:eastAsia="Times New Roman"/>
                <w:bCs/>
                <w:sz w:val="18"/>
                <w:szCs w:val="18"/>
              </w:rPr>
              <w:br/>
              <w:t xml:space="preserve"> Raid Type: Raid5 3+1</w:t>
            </w:r>
            <w:r w:rsidRPr="008A1635">
              <w:rPr>
                <w:rFonts w:eastAsia="Times New Roman"/>
                <w:bCs/>
                <w:sz w:val="18"/>
                <w:szCs w:val="18"/>
              </w:rPr>
              <w:br/>
              <w:t xml:space="preserve">           </w:t>
            </w:r>
            <w:r w:rsidRPr="008A1635">
              <w:rPr>
                <w:rFonts w:eastAsia="Times New Roman"/>
                <w:bCs/>
                <w:sz w:val="18"/>
                <w:szCs w:val="18"/>
              </w:rPr>
              <w:br/>
              <w:t xml:space="preserve"> *** VMAX ***</w:t>
            </w:r>
            <w:r w:rsidRPr="008A1635">
              <w:rPr>
                <w:rFonts w:eastAsia="Times New Roman"/>
                <w:bCs/>
                <w:sz w:val="18"/>
                <w:szCs w:val="18"/>
              </w:rPr>
              <w:br/>
              <w:t xml:space="preserve"> Processor Memory: 64GB </w:t>
            </w:r>
            <w:r w:rsidRPr="008A1635">
              <w:rPr>
                <w:rFonts w:eastAsia="Times New Roman"/>
                <w:bCs/>
                <w:sz w:val="18"/>
                <w:szCs w:val="18"/>
              </w:rPr>
              <w:br/>
              <w:t xml:space="preserve">Type of Adaptors (Mainframe Only): Fiber Channel Adaptors (8Gb) </w:t>
            </w:r>
            <w:r w:rsidRPr="008A1635">
              <w:rPr>
                <w:rFonts w:eastAsia="Times New Roman"/>
                <w:bCs/>
                <w:sz w:val="18"/>
                <w:szCs w:val="18"/>
              </w:rPr>
              <w:br/>
              <w:t xml:space="preserve"> Number Adaptors (Mainframe Only): 4 </w:t>
            </w:r>
            <w:r w:rsidRPr="008A1635">
              <w:rPr>
                <w:rFonts w:eastAsia="Times New Roman"/>
                <w:bCs/>
                <w:sz w:val="18"/>
                <w:szCs w:val="18"/>
              </w:rPr>
              <w:br/>
              <w:t xml:space="preserve">Number of Drive Sets: Thin Provisioning </w:t>
            </w:r>
            <w:r w:rsidRPr="008A1635">
              <w:rPr>
                <w:rFonts w:eastAsia="Times New Roman"/>
                <w:bCs/>
                <w:sz w:val="18"/>
                <w:szCs w:val="18"/>
              </w:rPr>
              <w:br/>
              <w:t xml:space="preserve"> Raid Type: Raid6 6+2</w:t>
            </w:r>
            <w:r w:rsidRPr="008A1635">
              <w:rPr>
                <w:rFonts w:eastAsia="Times New Roman"/>
                <w:bCs/>
                <w:sz w:val="18"/>
                <w:szCs w:val="18"/>
              </w:rPr>
              <w:br/>
              <w:t xml:space="preserve">           </w:t>
            </w:r>
            <w:r w:rsidRPr="008A1635">
              <w:rPr>
                <w:rFonts w:eastAsia="Times New Roman"/>
                <w:bCs/>
                <w:sz w:val="18"/>
                <w:szCs w:val="18"/>
              </w:rPr>
              <w:br/>
              <w:t>*** DMX4  ***</w:t>
            </w:r>
            <w:r w:rsidRPr="008A1635">
              <w:rPr>
                <w:rFonts w:eastAsia="Times New Roman"/>
                <w:bCs/>
                <w:sz w:val="18"/>
                <w:szCs w:val="18"/>
              </w:rPr>
              <w:br/>
              <w:t xml:space="preserve"> Processor Memory: 48GB </w:t>
            </w:r>
            <w:r w:rsidRPr="008A1635">
              <w:rPr>
                <w:rFonts w:eastAsia="Times New Roman"/>
                <w:bCs/>
                <w:sz w:val="18"/>
                <w:szCs w:val="18"/>
              </w:rPr>
              <w:br/>
              <w:t xml:space="preserve">Type of Adaptors (Mainframe Only): Frame </w:t>
            </w:r>
            <w:r w:rsidRPr="008A1635">
              <w:rPr>
                <w:rFonts w:eastAsia="Times New Roman"/>
                <w:bCs/>
                <w:sz w:val="18"/>
                <w:szCs w:val="18"/>
              </w:rPr>
              <w:br/>
              <w:t xml:space="preserve"> Number Adaptors (Mainframe Only): 8 </w:t>
            </w:r>
            <w:r w:rsidRPr="008A1635">
              <w:rPr>
                <w:rFonts w:eastAsia="Times New Roman"/>
                <w:bCs/>
                <w:sz w:val="18"/>
                <w:szCs w:val="18"/>
              </w:rPr>
              <w:br/>
              <w:t xml:space="preserve">Number of Drive Sets: No Dedicated Raid Sets </w:t>
            </w:r>
            <w:r w:rsidRPr="008A1635">
              <w:rPr>
                <w:rFonts w:eastAsia="Times New Roman"/>
                <w:bCs/>
                <w:sz w:val="18"/>
                <w:szCs w:val="18"/>
              </w:rPr>
              <w:br/>
              <w:t xml:space="preserve"> Raid Type: Raid5 7+1</w:t>
            </w:r>
            <w:r w:rsidRPr="008A1635">
              <w:rPr>
                <w:rFonts w:eastAsia="Times New Roman"/>
                <w:bCs/>
                <w:sz w:val="18"/>
                <w:szCs w:val="18"/>
              </w:rPr>
              <w:br/>
            </w:r>
            <w:r w:rsidRPr="008A1635">
              <w:rPr>
                <w:rFonts w:eastAsia="Times New Roman"/>
                <w:bCs/>
                <w:sz w:val="18"/>
                <w:szCs w:val="18"/>
              </w:rPr>
              <w:br/>
              <w:t>TAPE: Information about the configurations about Tape hardware is provided in Exhibit B.1 of this RFP.</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Commonwealth references their Systems Development Lifecycle (SDCL). Have you published your SDLC so we can view your development methodologies and lifecycle approach?</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No, the Commonwealth has not published a standard Systems Development Lifecycle. The Commonwealth does not have a standardized SDLC.  Each application may have its own SDLC.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D</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M-4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Upon completion of due diligence, will the vendor have the option to modify other transition milestone deliverables that are due at the same time or prior to the completion of due diligence in accordance with results gathered during that process?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No, the Offeror may not modify milestones.  The Offeror must follow the program deliverables set out in Schedule K - Key Program Deliverables.  The milestones set out in Schedule D are in support of the outcomes required in Schedule K.</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105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Should a Production Control Management requirement, such as 3.2.4.4 requirement 3, be included in ERP Hosting – SAP / Oracle?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No.  A Production Control Management requirement, such as 3.2.4.4 requirement 3, should not be included in ERP Hosting - SAP/Oracle.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General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Will the Commonwealth consider a proposal that would include application redesign and redeployment of Agency applications to eliminate certain platforms like Unisys and IBM mainframes?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No.  Application development services are outside the scope of this procurement.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Once due diligence is complete (starting in 2013) and the size of the fiber connection needed to connect between the vendor data center(s) and the Commonwealth’s network is determined, will the Commonwealth assume full responsibility for acquiring the fiber connection (s), coordinating installation, the cost of installation and the monthly cost of the needed fiber to connect?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No.  The Selected Offeror must provide the fiber connections to the Commonwealth at its cost.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Section, first sentence states “, utilizing existing and/or underutilized technologies where appropriate,” What method will be used to identify and acquire those assets if desired by the Offeror?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Offerors must propose a methodology to identify existing and/or underutilized technologies.  Offerors will not "acquire" Commonwealth assets but may use certain hardware and software components with Commonwealth approval.</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3.2.2.6</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80</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section states that “Additional Performance Monitoring Services such as database and application monitoring will be offered to the Commonwealth as an additional level of service”.    Please define the use of the words “an additional level of service” and who will be financially responsible for any level of application monitoring.</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Performance monitoring services should be offered to meet the specific needs of the agency and/or application.  These may be built in to the level of service cost or may be offered ala carte.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3.2.4.8</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Of the machines in the various locations, how do they split down by service category?  What SLAs/response times are required for the Capacity-On-Demand environment?  What network connectivity is required  What location is expected for the Capacity-On-Demand environment?  What transition milestones are expected/required for the Capacity-On-Demand environment?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Please clarify the first question.  </w:t>
            </w:r>
            <w:r w:rsidRPr="008A1635">
              <w:rPr>
                <w:rFonts w:eastAsia="Times New Roman"/>
                <w:bCs/>
                <w:sz w:val="18"/>
                <w:szCs w:val="18"/>
              </w:rPr>
              <w:br/>
            </w:r>
            <w:r w:rsidRPr="008A1635">
              <w:rPr>
                <w:rFonts w:eastAsia="Times New Roman"/>
                <w:bCs/>
                <w:sz w:val="18"/>
                <w:szCs w:val="18"/>
              </w:rPr>
              <w:br/>
              <w:t xml:space="preserve">The Offeror must provide Capacity-On-Demand according to Service Levels SL01 through SL31, as defined in Schedules J.1, J.2, and J.3.  </w:t>
            </w:r>
            <w:r w:rsidRPr="008A1635">
              <w:rPr>
                <w:rFonts w:eastAsia="Times New Roman"/>
                <w:bCs/>
                <w:sz w:val="18"/>
                <w:szCs w:val="18"/>
              </w:rPr>
              <w:br/>
            </w:r>
            <w:r w:rsidRPr="008A1635">
              <w:rPr>
                <w:rFonts w:eastAsia="Times New Roman"/>
                <w:bCs/>
                <w:sz w:val="18"/>
                <w:szCs w:val="18"/>
              </w:rPr>
              <w:br/>
              <w:t xml:space="preserve">Network connectivity is the responsibility of the Offeror.  </w:t>
            </w:r>
            <w:r w:rsidRPr="008A1635">
              <w:rPr>
                <w:rFonts w:eastAsia="Times New Roman"/>
                <w:bCs/>
                <w:sz w:val="18"/>
                <w:szCs w:val="18"/>
              </w:rPr>
              <w:br/>
            </w:r>
            <w:r w:rsidRPr="008A1635">
              <w:rPr>
                <w:rFonts w:eastAsia="Times New Roman"/>
                <w:bCs/>
                <w:sz w:val="18"/>
                <w:szCs w:val="18"/>
              </w:rPr>
              <w:br/>
              <w:t>The Commonwealth has as no preference or requirement on which datacenters provide Capacity-On-Demand services.</w:t>
            </w:r>
            <w:r w:rsidRPr="008A1635">
              <w:rPr>
                <w:rFonts w:eastAsia="Times New Roman"/>
                <w:bCs/>
                <w:sz w:val="18"/>
                <w:szCs w:val="18"/>
              </w:rPr>
              <w:br/>
            </w:r>
            <w:r w:rsidRPr="008A1635">
              <w:rPr>
                <w:rFonts w:eastAsia="Times New Roman"/>
                <w:bCs/>
                <w:sz w:val="18"/>
                <w:szCs w:val="18"/>
              </w:rPr>
              <w:br/>
              <w:t>The selected Offeror must meet the milestones for Capacity-On-Demand as described in Schedule K.</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B.4  DPH - Third Party Software Asset</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the current cost, licensing arrangement, cost metric (CPU, Core, PVU, etc.), and transfer or assignment cost that currently exist for each application?</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Please clarify the question and provide additional detail.</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SL14-SL15</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Which software and in what service categories are covered? How will we learn about the software that we cannot otherwise discover plus the terms of that lease?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Please clarify the question and provide additional detail.</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  Statement of Work</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60</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Will the Commonwealth include an evaluation of enterprise licensing agreements for applications that will be consolidated in the new data center?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Please clarify the question and provide additional detail.</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SL16</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elaboration on the "relevant criteria" specified in the Commonwealth Computing Procedures Manual.</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Relevant Criteria means the information that specifically pertains to the data recovery functions contained within the CCPM.</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3.2.1.8</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60</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Will Offeror-provided not commercially provided software need to be transferable to the Commonwealth at the expiration of the agreement?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Requirements related to ownership and transferability of software are set out in Appendix A to the RFP.  Section II-8 of the RFP provides that, the Offeror may identify which, if any, of the terms and conditions (contained in Appendix A) it would like to negotiate.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Task section states that the Commonwealth has provided detailed information on the current environments in the exhibits.  It also states that the Offeror shall utilize the exhibits as the baseline requirements (in terms of services, quantities and bandwidth) for developing its proposal.    Be aware that the “Volumetrics”, reflected in Schedule I, do not reflect the current services, quantities, or the bandwidths that are reflected in the exhibits.  Please explain this inconsistency.    If the “Volumetrics” are only to be used for cost evaluation, how will the Commonwealth actual pay for the configurations reflected in the exhibits and being requested in this requirement?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Schedule I will be used to evaluate pricing.  The Offeror is to provide a catalog of services within the Catalog of Services tab of Schedule I, including rates that are consistent with the rates proposed throughout Schedule I.  This service catalog will be used to determine the  cost of each service provided to the Commonwealth.  The invoice must reflect the items and rates listed in the catalog with quantities purchased.</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3.3.2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143</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section states that “The selected Offeror shall not charge the Commonwealth for any Services currently Provided by the DPH or EDC until all of the Services provided by the DPH and EDC (Group 1) have been successfully transitioned.”    Can any fees be charged, such as transitions fees or any other fees, prior to transitioning all of the DPH and EDC services?    Can any fees be charged to the Commonwealth prior to the expiration date of the existing contract scheduled for December 31, 2014?</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Section 3.3.2. (Transition Planning/Governance) of Schedule F was revised by Addendum #4.  The revised section states the following:  </w:t>
            </w:r>
            <w:r w:rsidRPr="008A1635">
              <w:rPr>
                <w:rFonts w:eastAsia="Times New Roman"/>
                <w:bCs/>
                <w:sz w:val="18"/>
                <w:szCs w:val="18"/>
              </w:rPr>
              <w:br/>
            </w:r>
            <w:r w:rsidRPr="008A1635">
              <w:rPr>
                <w:rFonts w:eastAsia="Times New Roman"/>
                <w:bCs/>
                <w:sz w:val="18"/>
                <w:szCs w:val="18"/>
              </w:rPr>
              <w:br/>
              <w:t>The selected Offeror shall not charge the Commonwealth for any Services currently provided by the EDC until all of the Services provided by the EDC have been successfully transitioned.</w:t>
            </w:r>
            <w:r w:rsidRPr="008A1635">
              <w:rPr>
                <w:rFonts w:eastAsia="Times New Roman"/>
                <w:bCs/>
                <w:sz w:val="18"/>
                <w:szCs w:val="18"/>
              </w:rPr>
              <w:br/>
            </w:r>
            <w:r w:rsidRPr="008A1635">
              <w:rPr>
                <w:rFonts w:eastAsia="Times New Roman"/>
                <w:bCs/>
                <w:sz w:val="18"/>
                <w:szCs w:val="18"/>
              </w:rPr>
              <w:br/>
              <w:t>The selected Offeror shall not charge the Commonwealth for any Services currently provided by the DPH until all of the Services provided by the DPH have been successfully transitioned.</w:t>
            </w:r>
            <w:r w:rsidRPr="008A1635">
              <w:rPr>
                <w:rFonts w:eastAsia="Times New Roman"/>
                <w:bCs/>
                <w:sz w:val="18"/>
                <w:szCs w:val="18"/>
              </w:rPr>
              <w:br/>
            </w:r>
            <w:r w:rsidRPr="008A1635">
              <w:rPr>
                <w:rFonts w:eastAsia="Times New Roman"/>
                <w:bCs/>
                <w:sz w:val="18"/>
                <w:szCs w:val="18"/>
              </w:rPr>
              <w:br/>
              <w:t>The selected Offeror shall not charge the Commonwealth for any Services currently provided by an Agency’s datacenter (example: DLI, DPW, DOR, DOH, PSP) until all of the Services provided by that datacenter have been successfully transitioned.</w:t>
            </w:r>
            <w:r w:rsidRPr="008A1635">
              <w:rPr>
                <w:rFonts w:eastAsia="Times New Roman"/>
                <w:bCs/>
                <w:sz w:val="18"/>
                <w:szCs w:val="18"/>
              </w:rPr>
              <w:br/>
            </w:r>
            <w:r w:rsidRPr="008A1635">
              <w:rPr>
                <w:rFonts w:eastAsia="Times New Roman"/>
                <w:bCs/>
                <w:sz w:val="18"/>
                <w:szCs w:val="18"/>
              </w:rPr>
              <w:br/>
              <w:t>The selected Offeror may charge the Commonwealth for new services after the contract effective date, excluding services that must be transitioned as described above.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H</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1.4.3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the current process used for vendors to assist the Commonwealth for their budget cycle. Please elaborate on the budgeting process and your expectations for vendor participation.</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See 3.2.1.1.5 for some examples of methods that could be used. The Offeror should, however, describe how it would assist the Commonwealth with the annual budgeting cycle.  The offeror should describe its approach to assisting the Commonwealth through planning and forecasting.</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3.1.1.9</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further definition around segregation requirements for non-Commonwealth workloads and agency segregation.  e.g. separate room / cage / raised floor in a shared datacenter.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See NIST 800-53 sections on physical security and physical security sections in CJIS policy http://www.fbi.gov/about-us/cjis/cjis-security-policy-resource-center/view</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3.1.2</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Commonwealth’s minimum FIPS 140-2 certification level?</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See page 52 of CJIS policy</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I-12</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Page 3</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Should Vendors also submit these forms/documents in PDF version to allow for signed versions to be included?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Signed MSWord documents are preferred.  If unsigned MSWord documents are submitted, the Offeror must also submit signed PDF versions.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A  , Defined Terms</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N/A</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Page 6</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A – Defined Terms.  In this section it does not specify what the “At-Risk Amount” will be on the contract.  Should the Offeror assume an amount in its proposal, or will the definitive amount be negotiated by the parties following award?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“At-Risk Amount” is 15% of the total monthly enterprise invoice submitted to the Commonwealth by the contractor each month.</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much utility power is available to the EDC? What types of power are available for equipment in the EDC (e.g. 110VAC, 220VAC, 440VAC)?</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building is served by an underground 2000 kVA transformer at 277-480 volts. Equipment powered from the PDUs is 110VAC or 208VAC.</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97</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Requirement number 4 states “Provide technical advice and support to the Application Development and Maintenance (ADM) and Database Administration (DBA) staff, as required.”    Who is financially responsible for providing the advice and support in the above stated requirement?  If it is the Service Provider, please define “as required” so that support can be properly scoped the included in our price.    Does the scope of this RFP include application maintenance and database support?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Commonwealth considers the referenced services to be a consulting level engagement that would be billable to the Commonwealth according to rate card in Schedule I.  The selected Offeror must receive approval from the Commonwealth for all engagements utilizing the rate card.</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3.2.4.5</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does the Commonwealth envision responsibilities for production control breaking down between the Commonwealth and the Offeror?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Please clarify the question and provide additional detail.</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D</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M13 thru M19</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 and 6</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Are there or will there be any active in flight projects that may impede the Offeror’s ability to execute their transition plan of record effectively? If so can the Commonwealth identify any major projects at the State or Agency level?</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Commonwealth has many active in flight projects.  The impact of these projects on Offerors' proposed transition plans cannot be determined by the Commonwealth.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General Strategy Question</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Does the Commonwealth intend to issue any additional RFP’s for complementary services (e.g. Service Desk, Managed Print, Independent Validation and Verification, Desktop or Field Services) that would leverage or rely on the ITSM activities (Incident, Problem, Change, Configuration, Compliance, Capacity, SLA and Asset Management) in scope within this RFP?</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Commonwealth has no plans to release an RFP for complementary services at this time.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2.3.2</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8, 9</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Noting the two exceptions (Commonwealth Mainframe &amp; SAP environments) are there any other legacy environments that will need to be transformed prior to the implementation of IPV6?    What is the expectation on behalf of the Commonwealth that the O/S and applications be converted or reconfigured to IPV6 as part of the initial transition?</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Commonwealth is not ready for IPv6 at this time.  Implementation of IPv6 will be a future project.  The Offeror is to provide IPv4 throughout the infrastructure provided to the Commonwealth.</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K</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a ticket dump for the past 6-12 months that shows ticket details.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Commonwealth issues an average of 2,000 tickets per month.  Please provide detail on the exact information requested.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meant by the word "enhanced" in the statement "enhanced disaster recovery capabilities…"?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Commonwealth views “enhanced” as a DR service not currently used by the Commonwealth.  An example of an enhanced DR service is the ability to have High Availability between geographically diverse datacenters.  Offerors may propose other DR capabilities in response to this RFP.</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Specifically what technical resources from the Commonwealth (OA and agencies) will assist with the transition? Will they be available as needed by the vendor?  If not, do the penalties for missing transition dates still apply?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Commonwealth will not identify specific technical resources at this time.  The Offeror must provide an estimate of any required Commonwealth resources, including the skills needed and the duration required for each of the resources required in order for the Offeror to implement its solution.  The Commonwealth expects to provide limited resources.  The selected Offeror must meet the contract milestones.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PSP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two PSP partitions, can you verify the quantity, type and speed of disk interfaces?</w:t>
            </w:r>
          </w:p>
        </w:tc>
        <w:tc>
          <w:tcPr>
            <w:tcW w:w="8952" w:type="dxa"/>
            <w:shd w:val="clear" w:color="auto" w:fill="FFFFFF"/>
            <w:hideMark/>
          </w:tcPr>
          <w:p w:rsidR="00961AA2" w:rsidRPr="00356166" w:rsidRDefault="00961AA2" w:rsidP="00B3699F">
            <w:pPr>
              <w:rPr>
                <w:rFonts w:eastAsia="Times New Roman"/>
                <w:bCs/>
                <w:strike/>
                <w:color w:val="FF0000"/>
                <w:sz w:val="18"/>
                <w:szCs w:val="18"/>
              </w:rPr>
            </w:pPr>
            <w:r w:rsidRPr="00356166">
              <w:rPr>
                <w:rFonts w:eastAsia="Times New Roman"/>
                <w:bCs/>
                <w:strike/>
                <w:color w:val="FF0000"/>
                <w:sz w:val="18"/>
                <w:szCs w:val="18"/>
              </w:rPr>
              <w:t>The current configuration is:</w:t>
            </w:r>
            <w:r w:rsidRPr="00356166">
              <w:rPr>
                <w:rFonts w:eastAsia="Times New Roman"/>
                <w:bCs/>
                <w:strike/>
                <w:color w:val="FF0000"/>
                <w:sz w:val="18"/>
                <w:szCs w:val="18"/>
              </w:rPr>
              <w:br/>
              <w:t xml:space="preserve"> </w:t>
            </w:r>
            <w:r w:rsidRPr="00356166">
              <w:rPr>
                <w:rFonts w:eastAsia="Times New Roman"/>
                <w:bCs/>
                <w:strike/>
                <w:color w:val="FF0000"/>
                <w:sz w:val="18"/>
                <w:szCs w:val="18"/>
              </w:rPr>
              <w:br/>
              <w:t>PSP Production:       6 – 9840C drives</w:t>
            </w:r>
            <w:r w:rsidRPr="00356166">
              <w:rPr>
                <w:rFonts w:eastAsia="Times New Roman"/>
                <w:bCs/>
                <w:strike/>
                <w:color w:val="FF0000"/>
                <w:sz w:val="18"/>
                <w:szCs w:val="18"/>
              </w:rPr>
              <w:br/>
              <w:t xml:space="preserve">                                4 – 36 track drives (5236)</w:t>
            </w:r>
            <w:r w:rsidRPr="00356166">
              <w:rPr>
                <w:rFonts w:eastAsia="Times New Roman"/>
                <w:bCs/>
                <w:strike/>
                <w:color w:val="FF0000"/>
                <w:sz w:val="18"/>
                <w:szCs w:val="18"/>
              </w:rPr>
              <w:br/>
              <w:t>PSP Development:  6 – 9840C drives</w:t>
            </w:r>
            <w:r w:rsidRPr="00356166">
              <w:rPr>
                <w:rFonts w:eastAsia="Times New Roman"/>
                <w:bCs/>
                <w:strike/>
                <w:color w:val="FF0000"/>
                <w:sz w:val="18"/>
                <w:szCs w:val="18"/>
              </w:rPr>
              <w:br/>
              <w:t xml:space="preserve">                                4 – 36 track drives (5236)</w:t>
            </w:r>
            <w:r w:rsidRPr="00356166">
              <w:rPr>
                <w:rFonts w:eastAsia="Times New Roman"/>
                <w:bCs/>
                <w:strike/>
                <w:color w:val="FF0000"/>
                <w:sz w:val="18"/>
                <w:szCs w:val="18"/>
              </w:rPr>
              <w:br/>
            </w:r>
            <w:r w:rsidRPr="00356166">
              <w:rPr>
                <w:rFonts w:eastAsia="Times New Roman"/>
                <w:bCs/>
                <w:strike/>
                <w:color w:val="FF0000"/>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PSP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two PSP partitions, can you verify the quantity and type of tape drives required?</w:t>
            </w:r>
          </w:p>
        </w:tc>
        <w:tc>
          <w:tcPr>
            <w:tcW w:w="8952" w:type="dxa"/>
            <w:shd w:val="clear" w:color="auto" w:fill="FFFFFF"/>
            <w:hideMark/>
          </w:tcPr>
          <w:p w:rsidR="00961AA2" w:rsidRPr="00356166" w:rsidRDefault="00961AA2" w:rsidP="00B3699F">
            <w:pPr>
              <w:rPr>
                <w:rFonts w:eastAsia="Times New Roman"/>
                <w:bCs/>
                <w:strike/>
                <w:color w:val="FF0000"/>
                <w:sz w:val="18"/>
                <w:szCs w:val="18"/>
              </w:rPr>
            </w:pPr>
            <w:r w:rsidRPr="00356166">
              <w:rPr>
                <w:rFonts w:eastAsia="Times New Roman"/>
                <w:bCs/>
                <w:strike/>
                <w:color w:val="FF0000"/>
                <w:sz w:val="18"/>
                <w:szCs w:val="18"/>
              </w:rPr>
              <w:t>The current configuration is:</w:t>
            </w:r>
            <w:r w:rsidRPr="00356166">
              <w:rPr>
                <w:rFonts w:eastAsia="Times New Roman"/>
                <w:bCs/>
                <w:strike/>
                <w:color w:val="FF0000"/>
                <w:sz w:val="18"/>
                <w:szCs w:val="18"/>
              </w:rPr>
              <w:br/>
            </w:r>
            <w:r w:rsidRPr="00356166">
              <w:rPr>
                <w:rFonts w:eastAsia="Times New Roman"/>
                <w:bCs/>
                <w:strike/>
                <w:color w:val="FF0000"/>
                <w:sz w:val="18"/>
                <w:szCs w:val="18"/>
              </w:rPr>
              <w:br/>
              <w:t>* PSP Production:          4 – Fibre PCI Cards SIOP Interfaces – speed 2 Gb</w:t>
            </w:r>
            <w:r w:rsidRPr="00356166">
              <w:rPr>
                <w:rFonts w:eastAsia="Times New Roman"/>
                <w:bCs/>
                <w:strike/>
                <w:color w:val="FF0000"/>
                <w:sz w:val="18"/>
                <w:szCs w:val="18"/>
              </w:rPr>
              <w:br/>
            </w:r>
            <w:r w:rsidRPr="00356166">
              <w:rPr>
                <w:rFonts w:eastAsia="Times New Roman"/>
                <w:bCs/>
                <w:strike/>
                <w:color w:val="FF0000"/>
                <w:sz w:val="18"/>
                <w:szCs w:val="18"/>
              </w:rPr>
              <w:br/>
              <w:t>* PSP Development:      4 – Fibre PCI Cards SIOP Interfaces – speed  2 Gb</w:t>
            </w:r>
            <w:r w:rsidRPr="00356166">
              <w:rPr>
                <w:rFonts w:eastAsia="Times New Roman"/>
                <w:bCs/>
                <w:strike/>
                <w:color w:val="FF0000"/>
                <w:sz w:val="18"/>
                <w:szCs w:val="18"/>
              </w:rPr>
              <w:br/>
            </w:r>
            <w:r w:rsidRPr="00356166">
              <w:rPr>
                <w:rFonts w:eastAsia="Times New Roman"/>
                <w:bCs/>
                <w:strike/>
                <w:color w:val="FF0000"/>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Dedicated DR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three Dorado DR partitions, can you verify the quantity and type of tape drives required?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current quantity and type of tape drive are:</w:t>
            </w:r>
            <w:r w:rsidRPr="008A1635">
              <w:rPr>
                <w:rFonts w:eastAsia="Times New Roman"/>
                <w:bCs/>
                <w:sz w:val="18"/>
                <w:szCs w:val="18"/>
              </w:rPr>
              <w:br/>
            </w:r>
            <w:r w:rsidRPr="008A1635">
              <w:rPr>
                <w:rFonts w:eastAsia="Times New Roman"/>
                <w:bCs/>
                <w:sz w:val="18"/>
                <w:szCs w:val="18"/>
              </w:rPr>
              <w:br/>
              <w:t xml:space="preserve">System A:            8 – 9840C drives </w:t>
            </w:r>
            <w:r w:rsidRPr="008A1635">
              <w:rPr>
                <w:rFonts w:eastAsia="Times New Roman"/>
                <w:bCs/>
                <w:sz w:val="18"/>
                <w:szCs w:val="18"/>
              </w:rPr>
              <w:br/>
              <w:t xml:space="preserve">                              4 – 5236 drives </w:t>
            </w:r>
            <w:r w:rsidRPr="008A1635">
              <w:rPr>
                <w:rFonts w:eastAsia="Times New Roman"/>
                <w:bCs/>
                <w:sz w:val="18"/>
                <w:szCs w:val="18"/>
              </w:rPr>
              <w:br/>
            </w:r>
            <w:r w:rsidRPr="008A1635">
              <w:rPr>
                <w:rFonts w:eastAsia="Times New Roman"/>
                <w:bCs/>
                <w:sz w:val="18"/>
                <w:szCs w:val="18"/>
              </w:rPr>
              <w:br/>
              <w:t xml:space="preserve">System F:            8 – 9840C drives </w:t>
            </w:r>
            <w:r w:rsidRPr="008A1635">
              <w:rPr>
                <w:rFonts w:eastAsia="Times New Roman"/>
                <w:bCs/>
                <w:sz w:val="18"/>
                <w:szCs w:val="18"/>
              </w:rPr>
              <w:br/>
              <w:t xml:space="preserve">                              2 – 5236 drives </w:t>
            </w:r>
            <w:r w:rsidRPr="008A1635">
              <w:rPr>
                <w:rFonts w:eastAsia="Times New Roman"/>
                <w:bCs/>
                <w:sz w:val="18"/>
                <w:szCs w:val="18"/>
              </w:rPr>
              <w:br/>
            </w:r>
            <w:r w:rsidRPr="008A1635">
              <w:rPr>
                <w:rFonts w:eastAsia="Times New Roman"/>
                <w:bCs/>
                <w:sz w:val="18"/>
                <w:szCs w:val="18"/>
              </w:rPr>
              <w:br/>
              <w:t>PSP:                      4 – 9840C drives</w:t>
            </w:r>
            <w:r w:rsidRPr="008A1635">
              <w:rPr>
                <w:rFonts w:eastAsia="Times New Roman"/>
                <w:bCs/>
                <w:sz w:val="18"/>
                <w:szCs w:val="18"/>
              </w:rPr>
              <w:br/>
              <w:t xml:space="preserve">                               2 – 5236 drives </w:t>
            </w:r>
            <w:r w:rsidRPr="008A1635">
              <w:rPr>
                <w:rFonts w:eastAsia="Times New Roman"/>
                <w:bCs/>
                <w:sz w:val="18"/>
                <w:szCs w:val="18"/>
              </w:rPr>
              <w:br/>
            </w:r>
            <w:r w:rsidRPr="008A1635">
              <w:rPr>
                <w:rFonts w:eastAsia="Times New Roman"/>
                <w:bCs/>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DPW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four Dorado partitions (Systems A, C, D, F), can you verify the quantity and type of tape drives required for each partition?</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current quantity and type of tape drive are:</w:t>
            </w:r>
            <w:r w:rsidRPr="008A1635">
              <w:rPr>
                <w:rFonts w:eastAsia="Times New Roman"/>
                <w:bCs/>
                <w:sz w:val="18"/>
                <w:szCs w:val="18"/>
              </w:rPr>
              <w:br/>
            </w:r>
            <w:r w:rsidRPr="008A1635">
              <w:rPr>
                <w:rFonts w:eastAsia="Times New Roman"/>
                <w:bCs/>
                <w:sz w:val="18"/>
                <w:szCs w:val="18"/>
              </w:rPr>
              <w:br/>
              <w:t xml:space="preserve">System A:            8 – 9840C drives </w:t>
            </w:r>
            <w:r w:rsidRPr="008A1635">
              <w:rPr>
                <w:rFonts w:eastAsia="Times New Roman"/>
                <w:bCs/>
                <w:sz w:val="18"/>
                <w:szCs w:val="18"/>
              </w:rPr>
              <w:br/>
              <w:t xml:space="preserve">                              4 – 5236 drives </w:t>
            </w:r>
            <w:r w:rsidRPr="008A1635">
              <w:rPr>
                <w:rFonts w:eastAsia="Times New Roman"/>
                <w:bCs/>
                <w:sz w:val="18"/>
                <w:szCs w:val="18"/>
              </w:rPr>
              <w:br/>
            </w:r>
            <w:r w:rsidRPr="008A1635">
              <w:rPr>
                <w:rFonts w:eastAsia="Times New Roman"/>
                <w:bCs/>
                <w:sz w:val="18"/>
                <w:szCs w:val="18"/>
              </w:rPr>
              <w:br/>
              <w:t xml:space="preserve">System F:            8 – 9840C drives </w:t>
            </w:r>
            <w:r w:rsidRPr="008A1635">
              <w:rPr>
                <w:rFonts w:eastAsia="Times New Roman"/>
                <w:bCs/>
                <w:sz w:val="18"/>
                <w:szCs w:val="18"/>
              </w:rPr>
              <w:br/>
              <w:t xml:space="preserve">                              2 – 5236 drives </w:t>
            </w:r>
            <w:r w:rsidRPr="008A1635">
              <w:rPr>
                <w:rFonts w:eastAsia="Times New Roman"/>
                <w:bCs/>
                <w:sz w:val="18"/>
                <w:szCs w:val="18"/>
              </w:rPr>
              <w:br/>
            </w:r>
            <w:r w:rsidRPr="008A1635">
              <w:rPr>
                <w:rFonts w:eastAsia="Times New Roman"/>
                <w:bCs/>
                <w:sz w:val="18"/>
                <w:szCs w:val="18"/>
              </w:rPr>
              <w:br/>
              <w:t>PSP:                      4 – 9840C drives</w:t>
            </w:r>
            <w:r w:rsidRPr="008A1635">
              <w:rPr>
                <w:rFonts w:eastAsia="Times New Roman"/>
                <w:bCs/>
                <w:sz w:val="18"/>
                <w:szCs w:val="18"/>
              </w:rPr>
              <w:br/>
              <w:t xml:space="preserve">                               2 – 5236 drives </w:t>
            </w:r>
            <w:r w:rsidRPr="008A1635">
              <w:rPr>
                <w:rFonts w:eastAsia="Times New Roman"/>
                <w:bCs/>
                <w:sz w:val="18"/>
                <w:szCs w:val="18"/>
              </w:rPr>
              <w:br/>
            </w:r>
            <w:r w:rsidRPr="008A1635">
              <w:rPr>
                <w:rFonts w:eastAsia="Times New Roman"/>
                <w:bCs/>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D,</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M-13, M-14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Page 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dates for these milestones are given as calendar dates instead of elapsed time from contract execution.  Please provide a defined number of days after the start of the contract before the penalty is considered invoked.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dates are definite calendar dates.  The date that the event must occur is not dependent upon the contract execution date.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3.2.5</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134</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Requirement number 2 uses the word “adequate inventory”.  Can this requirement for “Capacity on Demand Services” be made available in a “Public” cloud and shared with other users or is it needed in a “Private” cloud and will only be available to the Commonwealth?    If a “Public” cloud is acceptable, please be aware that some of the “Mainframe server” platforms may not be readily available anywhere in a public cloud.  If in a “Private” cloud only, please provide your requirements regarding your use of the word “adequate” to allow the Service Providers to meet this requirement.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decision to use a public versus a private cloud would be a risk based decision taking in to account, at a minimum, agency, data classification, risk-level, and data value.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d.x  edc</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D1 vs D4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3022 images (679 physical servers) ; 7936 images … why the difference in the values?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difference is because D1 is a server inventory and D4 is an application inventory. Some servers host more than one application.</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DPW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four Dorado partitions (Systems A, C, D, F), can you verify the quantity, type and speed of disk interfaces required for each partition?</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following are the current configurations:</w:t>
            </w:r>
            <w:r w:rsidRPr="008A1635">
              <w:rPr>
                <w:rFonts w:eastAsia="Times New Roman"/>
                <w:bCs/>
                <w:sz w:val="18"/>
                <w:szCs w:val="18"/>
              </w:rPr>
              <w:br/>
            </w:r>
            <w:r w:rsidRPr="008A1635">
              <w:rPr>
                <w:rFonts w:eastAsia="Times New Roman"/>
                <w:bCs/>
                <w:sz w:val="18"/>
                <w:szCs w:val="18"/>
              </w:rPr>
              <w:br/>
              <w:t>System A:  10 – Fibre PCI Cards, SIOP Interfaces – speed 2 Gb</w:t>
            </w:r>
            <w:r w:rsidRPr="008A1635">
              <w:rPr>
                <w:rFonts w:eastAsia="Times New Roman"/>
                <w:bCs/>
                <w:sz w:val="18"/>
                <w:szCs w:val="18"/>
              </w:rPr>
              <w:br/>
              <w:t>System C:    6 – Fibre PCI Cards, SIOP Interfaces –speed  2 Gb</w:t>
            </w:r>
            <w:r w:rsidRPr="008A1635">
              <w:rPr>
                <w:rFonts w:eastAsia="Times New Roman"/>
                <w:bCs/>
                <w:sz w:val="18"/>
                <w:szCs w:val="18"/>
              </w:rPr>
              <w:br/>
              <w:t>System D:    4 - Fibre PCI Cards, SIOP Interfaces –speed  2 Gb</w:t>
            </w:r>
            <w:r w:rsidRPr="008A1635">
              <w:rPr>
                <w:rFonts w:eastAsia="Times New Roman"/>
                <w:bCs/>
                <w:sz w:val="18"/>
                <w:szCs w:val="18"/>
              </w:rPr>
              <w:br/>
              <w:t>System F:     6 – Fibre PCI Cards, SIOP Interfaces –speed  2 Gb</w:t>
            </w:r>
            <w:r w:rsidRPr="008A1635">
              <w:rPr>
                <w:rFonts w:eastAsia="Times New Roman"/>
                <w:bCs/>
                <w:sz w:val="18"/>
                <w:szCs w:val="18"/>
              </w:rPr>
              <w:br/>
            </w:r>
            <w:r w:rsidRPr="008A1635">
              <w:rPr>
                <w:rFonts w:eastAsia="Times New Roman"/>
                <w:bCs/>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Dedicated DR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three Dorado DR partitions, can you verify the quantity, type and speed of disk interfaces?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following are the current quantity, type and speed of the referenced disk interfaces:</w:t>
            </w:r>
            <w:r w:rsidRPr="008A1635">
              <w:rPr>
                <w:rFonts w:eastAsia="Times New Roman"/>
                <w:bCs/>
                <w:sz w:val="18"/>
                <w:szCs w:val="18"/>
              </w:rPr>
              <w:br/>
            </w:r>
            <w:r w:rsidRPr="008A1635">
              <w:rPr>
                <w:rFonts w:eastAsia="Times New Roman"/>
                <w:bCs/>
                <w:sz w:val="18"/>
                <w:szCs w:val="18"/>
              </w:rPr>
              <w:br/>
              <w:t>System A:      2 – Fibre PCI Cards, SIOP Interfaces</w:t>
            </w:r>
            <w:r w:rsidRPr="008A1635">
              <w:rPr>
                <w:rFonts w:eastAsia="Times New Roman"/>
                <w:bCs/>
                <w:sz w:val="18"/>
                <w:szCs w:val="18"/>
              </w:rPr>
              <w:br/>
              <w:t xml:space="preserve">                           – speed 2 Gb</w:t>
            </w:r>
            <w:r w:rsidRPr="008A1635">
              <w:rPr>
                <w:rFonts w:eastAsia="Times New Roman"/>
                <w:bCs/>
                <w:sz w:val="18"/>
                <w:szCs w:val="18"/>
              </w:rPr>
              <w:br/>
            </w:r>
            <w:r w:rsidRPr="008A1635">
              <w:rPr>
                <w:rFonts w:eastAsia="Times New Roman"/>
                <w:bCs/>
                <w:sz w:val="18"/>
                <w:szCs w:val="18"/>
              </w:rPr>
              <w:br/>
              <w:t xml:space="preserve">System F:       2 - Fibre PCI Cards, SIOP Interfaces </w:t>
            </w:r>
            <w:r w:rsidRPr="008A1635">
              <w:rPr>
                <w:rFonts w:eastAsia="Times New Roman"/>
                <w:bCs/>
                <w:sz w:val="18"/>
                <w:szCs w:val="18"/>
              </w:rPr>
              <w:br/>
              <w:t xml:space="preserve">                           – speed  2 Gb</w:t>
            </w:r>
            <w:r w:rsidRPr="008A1635">
              <w:rPr>
                <w:rFonts w:eastAsia="Times New Roman"/>
                <w:bCs/>
                <w:sz w:val="18"/>
                <w:szCs w:val="18"/>
              </w:rPr>
              <w:br/>
            </w:r>
            <w:r w:rsidRPr="008A1635">
              <w:rPr>
                <w:rFonts w:eastAsia="Times New Roman"/>
                <w:bCs/>
                <w:sz w:val="18"/>
                <w:szCs w:val="18"/>
              </w:rPr>
              <w:br/>
              <w:t>System PSP: 2 – Fibre PCI Cards, SIOP Interfaces</w:t>
            </w:r>
            <w:r w:rsidRPr="008A1635">
              <w:rPr>
                <w:rFonts w:eastAsia="Times New Roman"/>
                <w:bCs/>
                <w:sz w:val="18"/>
                <w:szCs w:val="18"/>
              </w:rPr>
              <w:br/>
              <w:t xml:space="preserve">                           –speed  2 Gb</w:t>
            </w:r>
            <w:r w:rsidRPr="008A1635">
              <w:rPr>
                <w:rFonts w:eastAsia="Times New Roman"/>
                <w:bCs/>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Game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each of the game machines, please provide the Mip requirements and number of users, and verify the disk and tape requirements.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following is the current information and this meets the requirements for this infrastructure:</w:t>
            </w:r>
            <w:r w:rsidRPr="008A1635">
              <w:rPr>
                <w:rFonts w:eastAsia="Times New Roman"/>
                <w:bCs/>
                <w:sz w:val="18"/>
                <w:szCs w:val="18"/>
              </w:rPr>
              <w:br/>
            </w:r>
            <w:r w:rsidRPr="008A1635">
              <w:rPr>
                <w:rFonts w:eastAsia="Times New Roman"/>
                <w:bCs/>
                <w:sz w:val="18"/>
                <w:szCs w:val="18"/>
              </w:rPr>
              <w:br/>
              <w:t>Game Production:           40 MIPS, users no limit</w:t>
            </w:r>
            <w:r w:rsidRPr="008A1635">
              <w:rPr>
                <w:rFonts w:eastAsia="Times New Roman"/>
                <w:bCs/>
                <w:sz w:val="18"/>
                <w:szCs w:val="18"/>
              </w:rPr>
              <w:br/>
              <w:t xml:space="preserve">                                              2 fiber PCI connections to 200 GB of disk storage</w:t>
            </w:r>
            <w:r w:rsidRPr="008A1635">
              <w:rPr>
                <w:rFonts w:eastAsia="Times New Roman"/>
                <w:bCs/>
                <w:sz w:val="18"/>
                <w:szCs w:val="18"/>
              </w:rPr>
              <w:br/>
              <w:t xml:space="preserve">                                              3 LTO-3 tape drives </w:t>
            </w:r>
            <w:r w:rsidRPr="008A1635">
              <w:rPr>
                <w:rFonts w:eastAsia="Times New Roman"/>
                <w:bCs/>
                <w:sz w:val="18"/>
                <w:szCs w:val="18"/>
              </w:rPr>
              <w:br/>
            </w:r>
            <w:r w:rsidRPr="008A1635">
              <w:rPr>
                <w:rFonts w:eastAsia="Times New Roman"/>
                <w:bCs/>
                <w:sz w:val="18"/>
                <w:szCs w:val="18"/>
              </w:rPr>
              <w:br/>
              <w:t>Game Test:                         30 MIPS, users no limit</w:t>
            </w:r>
            <w:r w:rsidRPr="008A1635">
              <w:rPr>
                <w:rFonts w:eastAsia="Times New Roman"/>
                <w:bCs/>
                <w:sz w:val="18"/>
                <w:szCs w:val="18"/>
              </w:rPr>
              <w:br/>
              <w:t xml:space="preserve">                                             200 GB of internal disk storage</w:t>
            </w:r>
            <w:r w:rsidRPr="008A1635">
              <w:rPr>
                <w:rFonts w:eastAsia="Times New Roman"/>
                <w:bCs/>
                <w:sz w:val="18"/>
                <w:szCs w:val="18"/>
              </w:rPr>
              <w:br/>
              <w:t xml:space="preserve">                                              No tape drives attached</w:t>
            </w:r>
            <w:r w:rsidRPr="008A1635">
              <w:rPr>
                <w:rFonts w:eastAsia="Times New Roman"/>
                <w:bCs/>
                <w:sz w:val="18"/>
                <w:szCs w:val="18"/>
              </w:rPr>
              <w:br/>
            </w:r>
            <w:r w:rsidRPr="008A1635">
              <w:rPr>
                <w:rFonts w:eastAsia="Times New Roman"/>
                <w:bCs/>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all Dorado and Libra systems, can you identify any required I/O throughput requirements, Request Existence Time requirements, or redundancy requirements?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I/O throughput is application dependent based on a number of contributing variables including but not limited to the speed of the network, processors, host bus adapter speeds and other connected peripheral devices.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I.1  IES - DPH COPA Owned IT Assets V1  Exhibit B.2 DPH - Commonwealth Owned DPH IT A V1</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IES    IES</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L1, worksheet “IES” and Exhibit B2, worksheet “IES” appear to be the same.  Should the contents of both worksheets be included in the inventory?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information provided by the Commonwealth within the referenced Exhibits must be addressed as part of an Offeror's proposal.  Both exhibits (L.1 and B.2) contain the same information.  They were included to provide the same information from two different points of view.  L.1 is the information from the DPH point of view of Commonwealth owned assets and B.2 is from the application point of view of the infrastructure.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Exhibits M.x   DOC and Exhibits G.x PSP Exhibit D.1 EDC - Server Inventory V1</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It appears there is duplication in inventory between the exhibits from DOT, EDC and DOC.  Which inventory or record/exhibit should be used?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information provided by the Commonwealth within the referenced Exhibits must be addressed as part of an Offeror's proposal.  The data was provided to give the Offerors points of view from several directions, such as from the agency view, from the application view, and from the datacenter view.    Exhibit L = all CoPA Applications, including IES    Exhibit I.2 = extract of IES Applications from L.1    Exhibit B.2 = List of physical and virtual servers and other hardware housing the I.2 applications    Exhibits I.8, I.9, I.10, I.11 = list of hardware components from which B.2 systems are built.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I.1   IES - DPH COPA Owned IT Assets V1  Exhibit B.2 DPH - Commonwealth Owned DPH IT A V1  Exhibit 1.8 IES - IES Technical Refresh  Exhibit I.9 IES - IES Technical Refresh  Exhibit I.10 IES - IES Technical Refresh  Exhibit I.11 IES - IES Technical Refresh</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IES    IES</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Should the proposal include the contents of Exhibits I.8, I.9, I.10, I.11 in addition to the inventory listed in Exhibit LI and Exhibit B2?</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information provided by the Commonwealth within the referenced Exhibits must be addressed as part of an Offeror's proposal.  The data was provided to give the Offerors points of view from several directions, such as from the agency view, from the application view, and from the datacenter view.    Exhibit L = all CoPA Applications, including IES    Exhibit I.2 = extract of IES Applications from L.1    Exhibit B.2 = List of physical and virtual servers and other hardware housing the I.2 applications    Exhibits I.8, I.9, I.10, I.11 = list of hardware components from which B.2 systems are built.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I</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1.Volumetrics</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Are the Base Units - Volumetrics for “Fully Managed” and “Managed Only” separate and stand alone?  For example, there are Fully Managed Silver P-Series (AIX) LPARs = 180. There are Managed Only Silver P-Series (AIX) LPARs = 30.  Are these two volumes separate for a total of 210 LPARs, or are the 30 LPARs included in the 180?  It looks like they are separate and distinct, because they add up separately into the grand totals in the Schedule I pricing file.  Could the Commonwealth clarify/confirm?</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information referenced is separate and stand alone; meaning the "Fully Managed" count does not include the "Managed Only" count.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B.1  Dedicated DR Tab</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equipment identified as “L1400”, can you identify the equipment type, usage, and quantity?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L1400 consists of two (2) StorageTek L700 units. </w:t>
            </w:r>
            <w:r w:rsidRPr="008A1635">
              <w:rPr>
                <w:rFonts w:eastAsia="Times New Roman"/>
                <w:bCs/>
                <w:sz w:val="18"/>
                <w:szCs w:val="18"/>
              </w:rPr>
              <w:br/>
              <w:t xml:space="preserve">1 - L1400 </w:t>
            </w:r>
            <w:r w:rsidRPr="008A1635">
              <w:rPr>
                <w:rFonts w:eastAsia="Times New Roman"/>
                <w:bCs/>
                <w:sz w:val="18"/>
                <w:szCs w:val="18"/>
              </w:rPr>
              <w:br/>
              <w:t>20 – 9840C tape drives</w:t>
            </w:r>
            <w:r w:rsidRPr="008A1635">
              <w:rPr>
                <w:rFonts w:eastAsia="Times New Roman"/>
                <w:bCs/>
                <w:sz w:val="18"/>
                <w:szCs w:val="18"/>
              </w:rPr>
              <w:br/>
              <w:t xml:space="preserve">2 – LTO-3 tape drives </w:t>
            </w:r>
            <w:r w:rsidRPr="008A1635">
              <w:rPr>
                <w:rFonts w:eastAsia="Times New Roman"/>
                <w:bCs/>
                <w:sz w:val="18"/>
                <w:szCs w:val="18"/>
              </w:rPr>
              <w:br/>
            </w:r>
            <w:r w:rsidRPr="008A1635">
              <w:rPr>
                <w:rFonts w:eastAsia="Times New Roman"/>
                <w:bCs/>
                <w:sz w:val="18"/>
                <w:szCs w:val="18"/>
              </w:rPr>
              <w:br/>
              <w:t xml:space="preserve">It is used by both the Dorado and Libra mainframes located at DR.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J.2</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SL21</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definition around information contained in the columns titled Required and Earnback Minimum and how they relate to the SLM process.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Offeror must provide the "Required" level of service to avoid a Service Level Default.  Please refer to Schedule J.1 Section 6 for details on the Earnback methodology and process.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10</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a list of confidential data and related applications, where they reside and their volumes. If not available, will the Commonwealth permit the incorporation of this information into line items in the service catalog and price sheets at a later time?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Offeror should assume that all information hosted for the Commonwealth is confidential data.  The service catalog should include various levels of security services for the Commonwealth to select.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3.1.2</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17</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Current Commonwealth ITB states that Proxy Servers must be hosted in the EDC. Relative to the requirement to propose a solution that minimizes application latency, will this ITB change and will Offerors be allowed to located the Proxy Servers anywhere they are needed?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Offerors must follow the ITBs.  The Commonwealth may consider revising this policy in the future.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oldest HVAC device in operation in the data center today (i.e. CRAC, Condenser, air exchange)?</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oldest units are CRAC units installed in 1993.</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single line drawings for the electrical power systems including generators, UPS, and PDUs.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previously provided single line electrical drawing included generators and UPS units.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floor loading capacity of the raised floor in the EDC? What is its height?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raised floor loading capacity is 800 lbs per tile. The height of the raised floor is 2 feet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I</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Top</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At the top of page 2, there is a reference to “This Exhibit B.5”.  Is that correct?</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reference is incorrect.  The correct reference is to "Schedule I.1."</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3.2.1.7-3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considered a datacenter component as it relates to current configuration reports?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requirement asks the Offeror to describe it process to request a report, and provide a sample of a report used on another account as part the Offeror's proposal.  The Commonwealth expects a report that provides the required details to understand the information that is relevant to the component.  As an example, a report for a server may contain the following information:</w:t>
            </w:r>
            <w:r w:rsidRPr="008A1635">
              <w:rPr>
                <w:rFonts w:eastAsia="Times New Roman"/>
                <w:bCs/>
                <w:sz w:val="18"/>
                <w:szCs w:val="18"/>
              </w:rPr>
              <w:br/>
            </w:r>
            <w:r w:rsidRPr="008A1635">
              <w:rPr>
                <w:rFonts w:eastAsia="Times New Roman"/>
                <w:bCs/>
                <w:sz w:val="18"/>
                <w:szCs w:val="18"/>
              </w:rPr>
              <w:br/>
              <w:t>- Server Name</w:t>
            </w:r>
            <w:r w:rsidRPr="008A1635">
              <w:rPr>
                <w:rFonts w:eastAsia="Times New Roman"/>
                <w:bCs/>
                <w:sz w:val="18"/>
                <w:szCs w:val="18"/>
              </w:rPr>
              <w:br/>
              <w:t>- applications on the server</w:t>
            </w:r>
            <w:r w:rsidRPr="008A1635">
              <w:rPr>
                <w:rFonts w:eastAsia="Times New Roman"/>
                <w:bCs/>
                <w:sz w:val="18"/>
                <w:szCs w:val="18"/>
              </w:rPr>
              <w:br/>
              <w:t>- Quantity and Speed of the network connections</w:t>
            </w:r>
            <w:r w:rsidRPr="008A1635">
              <w:rPr>
                <w:rFonts w:eastAsia="Times New Roman"/>
                <w:bCs/>
                <w:sz w:val="18"/>
                <w:szCs w:val="18"/>
              </w:rPr>
              <w:br/>
              <w:t>- Memory</w:t>
            </w:r>
            <w:r w:rsidRPr="008A1635">
              <w:rPr>
                <w:rFonts w:eastAsia="Times New Roman"/>
                <w:bCs/>
                <w:sz w:val="18"/>
                <w:szCs w:val="18"/>
              </w:rPr>
              <w:br/>
              <w:t>- Disk Space</w:t>
            </w:r>
            <w:r w:rsidRPr="008A1635">
              <w:rPr>
                <w:rFonts w:eastAsia="Times New Roman"/>
                <w:bCs/>
                <w:sz w:val="18"/>
                <w:szCs w:val="18"/>
              </w:rPr>
              <w:br/>
              <w:t>- OS</w:t>
            </w:r>
            <w:r w:rsidRPr="008A1635">
              <w:rPr>
                <w:rFonts w:eastAsia="Times New Roman"/>
                <w:bCs/>
                <w:sz w:val="18"/>
                <w:szCs w:val="18"/>
              </w:rPr>
              <w:br/>
              <w:t>- Patches</w:t>
            </w:r>
            <w:r w:rsidRPr="008A1635">
              <w:rPr>
                <w:rFonts w:eastAsia="Times New Roman"/>
                <w:bCs/>
                <w:sz w:val="18"/>
                <w:szCs w:val="18"/>
              </w:rPr>
              <w:br/>
              <w:t>- Storage type and size</w:t>
            </w:r>
            <w:r w:rsidRPr="008A1635">
              <w:rPr>
                <w:rFonts w:eastAsia="Times New Roman"/>
                <w:bCs/>
                <w:sz w:val="18"/>
                <w:szCs w:val="18"/>
              </w:rPr>
              <w:br/>
              <w:t>- Datacenter</w:t>
            </w:r>
            <w:r w:rsidRPr="008A1635">
              <w:rPr>
                <w:rFonts w:eastAsia="Times New Roman"/>
                <w:bCs/>
                <w:sz w:val="18"/>
                <w:szCs w:val="18"/>
              </w:rPr>
              <w:br/>
              <w:t>- Etc.</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133</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there an expected timeframe from the time the Contract starts to when Capacity on Demand services are available to the Agencies?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 selected Offeror must meet the milestones for Capacity-On-Demand as described in Schedule K.</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77</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D</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M-14</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Offeror responsible to run in the EDC during Transition? What costs?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The selected Offeror will be responsible for services provided by the EDC once the services have been transitioned and accepted by the Commonwealth.  The selected Offeror shall not charge the Commonwealth for any services currently provided by the EDC until all of the services provided by the EDC have been successfully transitioned.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78</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 Offeror expected to reuse any Commonwealth owned hardware and software?  Are there any restrictions on the reuse of Commonwealth owned hardware e.g. hardware owned by a specific agency can only be used by the owning agency?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There are restrictions on reuse of certain Commonwealth hardware and software components. The Offeror must receive prior approval from the Commonwealth before reusing any component.  For purposes of submitting a proposal, Offerors should assume that no hardware or software components are available for reuse.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79</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Inventory Exhibits</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Could the Commonwealth provide the number of SAN ports and speed required by server?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This information, where available, was included in the Exhibits.  The selected Offeror may receive additional detail from specific agencies as part of the transition planning process.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80</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Inventory Exhibits</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Could the Commonwealth provide the number of network ports and speed required by server?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This information, where available, was included in the Exhibits.  The selected Offeror may receive additional detail from specific agencies as part of the transition planning process.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81</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RFP specifically states that any proposal must be less costly than the current as-is model.  What is the current total cost of the as-is model the vendor must bid below?    Does the current as-is model include any cost savings associated with reduced Commonwealth labor?</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 xml:space="preserve">This requirement is intended to encourage Offerors to be aggressive in providing low cost / high quality services to the Commonwealth.  The Commonwealth will not provide the current budget or spend on services requested within this RFP. </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82</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85</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contract in Appendix A has very large financial penalties associated with not compiling with the Commonwealth’s security policies. Will the Service Provider be able to lock down the EDC floor space (hopefully not shared) to just those employees that are under the direct control of the Service Provider and all associated background checks have been obtained?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To a large extent, the Selected Offeror will have the ability to lock down the EDC floor space managed by the Offeror.  The Commonwealth, however,  requires that selected Commonwealth employees have access to this floor space.  In addition, Commonwealth employees maintaining equipment in the colocation spaces will require physical access to this floor space.</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83</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I  Offeror Pricing Form</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Description and Instructions</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Row 51</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Commonwealth indicates that this will be a unit-based contract.  Does the Commonwealth plan to issue a pricing exhibit to explain how this will work?  If not, what is the methodology that will be used to determine pricing variability?  To ensure optimal pricing will the Commonwealth commit to minimum volume levels or an equitable adjustment for volumes below a certain threshold?</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Unit based pricing is the concept of providing a catalog of services that provides a “unit” (of quantity one) monthly pricing that the Commonwealth can select from and order a quantity.  This catalog must have the individual (unit) price components required to deliver a complete managed service.  This includes, but is not limited to, units of servers, network ports, DR, SLA, storage type, Tier and quantity.   The Offeror must provide unit pricing in such a way as to account for the variability’s mentioned within the question.  No, the Commonwealth will not commit to minimum or “Tiered” commitment levels for this procurement.</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84</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3.2.1.3</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42</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Pre-change test plans (bullet 3) - stipulates a test environment for any change that is being moved into production. Does this include firmware upgrades, storage changes, etc.?  If that is the case, additional cost to maintain additional identical hardware platforms to test such changes would drive cost up.  Please clarify.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Unless otherwise approved by the Commonwealth, the Offeror must provide a separate test environment for those changes that impact multiple environments (Dev, Test, Prod) of the same application.  This includes SANs, Tape Silos, Firewalls, and other such infrastructure components.  If the component supports only one environment (Dev, Test, Prod) for an application, then Offeror is not required to have separate infrastructure.  All  changes must follow the implementation plan approved by the Commonwealth.</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85</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3.2.4.7</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128</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 optional database services include the requirement to support Unisys mainframe databases (DMS, RDMS)?</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Yes, support of Unisys mainframe databases is included in these services.</w:t>
            </w:r>
          </w:p>
        </w:tc>
      </w:tr>
      <w:tr w:rsidR="00961AA2" w:rsidRPr="009E4812" w:rsidTr="00B3699F">
        <w:trPr>
          <w:cantSplit/>
          <w:trHeight w:val="240"/>
        </w:trPr>
        <w:tc>
          <w:tcPr>
            <w:tcW w:w="893"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86</w:t>
            </w:r>
          </w:p>
        </w:tc>
        <w:tc>
          <w:tcPr>
            <w:tcW w:w="143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1456"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98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3754" w:type="dxa"/>
            <w:shd w:val="clear" w:color="auto"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Does an electrical single line drawing exist for the facility showing the utility and electrical distribution of the site?      If yes, can the Commonwealth provide a copy?</w:t>
            </w:r>
          </w:p>
        </w:tc>
        <w:tc>
          <w:tcPr>
            <w:tcW w:w="8952" w:type="dxa"/>
            <w:shd w:val="clear" w:color="auto" w:fill="FFFFFF"/>
            <w:hideMark/>
          </w:tcPr>
          <w:p w:rsidR="00961AA2" w:rsidRPr="008A1635" w:rsidRDefault="00961AA2" w:rsidP="00B3699F">
            <w:pPr>
              <w:rPr>
                <w:rFonts w:eastAsia="Times New Roman"/>
                <w:bCs/>
                <w:sz w:val="18"/>
                <w:szCs w:val="18"/>
              </w:rPr>
            </w:pPr>
            <w:r w:rsidRPr="008A1635">
              <w:rPr>
                <w:rFonts w:eastAsia="Times New Roman"/>
                <w:bCs/>
                <w:sz w:val="18"/>
                <w:szCs w:val="18"/>
              </w:rPr>
              <w:t>Yes.  Please see Exhibit D.8 - Single Line Electrical Drawing.   This is a confidential document.  To receive a copy, please contact Sheryl Kimport, the Issuing Officer.</w:t>
            </w:r>
          </w:p>
        </w:tc>
      </w:tr>
    </w:tbl>
    <w:p w:rsidR="00961AA2" w:rsidRDefault="00961AA2">
      <w:pPr>
        <w:rPr>
          <w:b/>
          <w:i/>
        </w:rPr>
      </w:pPr>
    </w:p>
    <w:p w:rsidR="00961AA2" w:rsidRDefault="00961AA2">
      <w:pPr>
        <w:rPr>
          <w:b/>
          <w:i/>
        </w:rPr>
      </w:pPr>
    </w:p>
    <w:tbl>
      <w:tblPr>
        <w:tblW w:w="17565" w:type="dxa"/>
        <w:tblInd w:w="93" w:type="dxa"/>
        <w:tblLayout w:type="fixed"/>
        <w:tblLook w:val="04A0"/>
      </w:tblPr>
      <w:tblGrid>
        <w:gridCol w:w="939"/>
        <w:gridCol w:w="957"/>
        <w:gridCol w:w="1179"/>
        <w:gridCol w:w="720"/>
        <w:gridCol w:w="5850"/>
        <w:gridCol w:w="7920"/>
      </w:tblGrid>
      <w:tr w:rsidR="00961AA2" w:rsidRPr="00AF0D8E" w:rsidTr="00B3699F">
        <w:trPr>
          <w:cantSplit/>
          <w:trHeight w:val="300"/>
          <w:tblHeader/>
        </w:trPr>
        <w:tc>
          <w:tcPr>
            <w:tcW w:w="17565" w:type="dxa"/>
            <w:gridSpan w:val="6"/>
            <w:tcBorders>
              <w:top w:val="single" w:sz="4" w:space="0" w:color="auto"/>
              <w:left w:val="single" w:sz="4" w:space="0" w:color="auto"/>
              <w:bottom w:val="single" w:sz="4" w:space="0" w:color="auto"/>
              <w:right w:val="single" w:sz="4" w:space="0" w:color="auto"/>
            </w:tcBorders>
            <w:shd w:val="clear" w:color="000000" w:fill="C6D9F1" w:themeFill="text2" w:themeFillTint="33"/>
          </w:tcPr>
          <w:p w:rsidR="00961AA2" w:rsidRPr="008A1635" w:rsidRDefault="00961AA2" w:rsidP="00B3699F">
            <w:pPr>
              <w:rPr>
                <w:rFonts w:eastAsia="Times New Roman"/>
                <w:b/>
                <w:bCs/>
                <w:color w:val="000000"/>
                <w:sz w:val="18"/>
                <w:szCs w:val="18"/>
              </w:rPr>
            </w:pPr>
            <w:r w:rsidRPr="008A1635">
              <w:rPr>
                <w:b/>
                <w:i/>
                <w:sz w:val="18"/>
                <w:szCs w:val="18"/>
              </w:rPr>
              <w:t>Addendum 9 – Round 1, Part 5</w:t>
            </w:r>
          </w:p>
        </w:tc>
      </w:tr>
      <w:tr w:rsidR="00961AA2" w:rsidRPr="008D0A1C" w:rsidTr="00B3699F">
        <w:trPr>
          <w:cantSplit/>
          <w:trHeight w:val="300"/>
          <w:tblHeader/>
        </w:trPr>
        <w:tc>
          <w:tcPr>
            <w:tcW w:w="939" w:type="dxa"/>
            <w:tcBorders>
              <w:top w:val="single" w:sz="4" w:space="0" w:color="auto"/>
              <w:left w:val="single" w:sz="4" w:space="0" w:color="auto"/>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 </w:t>
            </w:r>
          </w:p>
        </w:tc>
        <w:tc>
          <w:tcPr>
            <w:tcW w:w="957"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1179"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72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585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792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Answer</w:t>
            </w:r>
          </w:p>
        </w:tc>
      </w:tr>
      <w:tr w:rsidR="00961AA2" w:rsidRPr="008D0A1C" w:rsidTr="00B3699F">
        <w:trPr>
          <w:cantSplit/>
          <w:trHeight w:val="36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Commonwealth is requiring consumptive-based pricing and also has not established a minimum or maximum purchase.    1) A vendor will require significant capital outlay to satisfy the requirements of the RFP. Without a commitment by the Commonwealth to purchase any level of services, this negatively impacts a vendor's ability to raise capital and also meet accounting reporting requirements mandated by the federal government. Would the Commonwealth be willing to establish a minimum purchase commitment for the 7 year contract?    2) Given agencies have a fixed budget each year for data center services, what happens when they consume in excess of their budgets? Will the vendor be impacted in any way or will the Commonwealth find the funds elsewhere?</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 xml:space="preserve">  1) No.  2) The Commonwealth is required to fund agency needs.  If the funding does not meet the needs of an agency the Commonwealth will, at that time, decide the appropriate course of actions (either reduce services to reduce the costs or find the funding).  </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you please elaborate on what detailed service information will be required to ensure Commonwealth has uninterrupted flow of federal funds?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agency invoices must include sufficient detail so the agency has full transparency into the services they consumed.  This will allow the agency to apply its own cost allocation models for claiming federal funding.</w:t>
            </w:r>
            <w:r w:rsidRPr="008A1635">
              <w:rPr>
                <w:rFonts w:eastAsia="Times New Roman"/>
                <w:sz w:val="18"/>
                <w:szCs w:val="18"/>
              </w:rPr>
              <w:br/>
            </w:r>
            <w:r w:rsidRPr="008A1635">
              <w:rPr>
                <w:rFonts w:eastAsia="Times New Roman"/>
                <w:sz w:val="18"/>
                <w:szCs w:val="18"/>
              </w:rPr>
              <w:br/>
              <w:t>The Commonwealth will provide information regarding federal funding requirements during transition planning.</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SL26</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39</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define P1, P2, P3 and P4.</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 represents the Priority set on the incident.  "P1" represents the highest priority.  These are determined by the critically of the infrastructure and may be set by the reporting person.</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B.3 and B.4</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 Tabs</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 Pages</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For Exhibits 3 and 4, Software is listed by Agency and by quantity, please provide a list of the Unisys mainframe software for each machine and each partition.</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 new exhibit has been added to the RFP.  Please see 6100022698 - Exhibit B.8 - Unisys Software - Dorado  Libra contains the current software for the referenced Mainframes.</w:t>
            </w:r>
            <w:r w:rsidRPr="008A1635">
              <w:rPr>
                <w:rFonts w:eastAsia="Times New Roman"/>
                <w:bCs/>
                <w:sz w:val="18"/>
                <w:szCs w:val="18"/>
              </w:rPr>
              <w:t xml:space="preserve">  This is a confidential document.  To receive a copy, please contact Sheryl Kimport, the Issuing Officer.</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All</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Unisys billable software that runs on the mainframes (Dorado &amp; Libra) does not seem to be identified in the software inventories.  Can you verify?</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 new exhibit has been added to the RFP.  Please see 6100022698 - Exhibit B.8 - Unisys Software - Dorado  Libra contains the current software for the referenced Mainframes.</w:t>
            </w:r>
            <w:r w:rsidRPr="008A1635">
              <w:rPr>
                <w:rFonts w:eastAsia="Times New Roman"/>
                <w:bCs/>
                <w:sz w:val="18"/>
                <w:szCs w:val="18"/>
              </w:rPr>
              <w:t xml:space="preserve">  This is a confidential document.  To receive a copy, please contact Sheryl Kimport, the Issuing Officer.</w:t>
            </w:r>
          </w:p>
        </w:tc>
      </w:tr>
      <w:tr w:rsidR="00961AA2" w:rsidRPr="008D0A1C" w:rsidTr="00B3699F">
        <w:trPr>
          <w:cantSplit/>
          <w:trHeight w:val="28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B.3    Exhibit B.4 DPH -</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UC – IBM,  BOIS – IBM,  DOC – IBM,  DOT – IBM,  REVENUE – IBM    Oper.and Financial Resp.</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These exhibits don’t appear to provide a complete inventory (considering product inventory or version/release information of individual products) of the various software products.  Will this data be updated by the Commonwealth?    Additional, could the Commonwealth note if a software support agreement is currently in place with the vendor?</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 new exhibit has been added to the RFP.  Please see 6100022698 - Exhibit B.8 - Unisys Software - Dorado  Libra contains the current software for the referenced Mainframes. </w:t>
            </w:r>
            <w:r w:rsidRPr="008A1635">
              <w:rPr>
                <w:rFonts w:eastAsia="Times New Roman"/>
                <w:bCs/>
                <w:sz w:val="18"/>
                <w:szCs w:val="18"/>
              </w:rPr>
              <w:t>This is a confidential document.  To receive a copy, please contact Sheryl Kimport, the Issuing Officer.</w:t>
            </w:r>
          </w:p>
        </w:tc>
      </w:tr>
      <w:tr w:rsidR="00961AA2" w:rsidRPr="008D0A1C" w:rsidTr="00B3699F">
        <w:trPr>
          <w:cantSplit/>
          <w:trHeight w:val="38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Commonwealth States “The Offeror must address in its design how it will create a target environment that will minimize application latency concerns.”  If application latency issues are identified through the due diligence process and application remediation is needed will the Commonwealth take responsibility for that remediation?  If that remediation causes delays in transition timeline, please provide relief to the Service Provider from committed timeline dates and credits?  Regards to application performance and the potential for application/network latency, is the Commonwealth expecting application performance that will be the same as prior to the movement to a new data center model?  If yes what baseline performance metrics will be used?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 xml:space="preserve">a)  The selected Offeror must provide the infrastructure necessary to avoid latency issues. At its discretion, the Commonwealth will review the options for remediation and if it is viable for the Commonwealth to resolve the latency via a change in the application, the Commonwealth will make the change at the Commonwealth's expense.  </w:t>
            </w:r>
            <w:r w:rsidRPr="008A1635">
              <w:rPr>
                <w:rFonts w:eastAsia="Times New Roman"/>
                <w:sz w:val="18"/>
                <w:szCs w:val="18"/>
              </w:rPr>
              <w:br/>
            </w:r>
            <w:r w:rsidRPr="008A1635">
              <w:rPr>
                <w:rFonts w:eastAsia="Times New Roman"/>
                <w:sz w:val="18"/>
                <w:szCs w:val="18"/>
              </w:rPr>
              <w:br/>
              <w:t>b) Transition Timelines are set out in the RFP and any changes to those dates will be addressed via the procedures set out in Appendix A (Terms and Conditions).</w:t>
            </w:r>
            <w:r w:rsidRPr="008A1635">
              <w:rPr>
                <w:rFonts w:eastAsia="Times New Roman"/>
                <w:sz w:val="18"/>
                <w:szCs w:val="18"/>
              </w:rPr>
              <w:br/>
            </w:r>
            <w:r w:rsidRPr="008A1635">
              <w:rPr>
                <w:rFonts w:eastAsia="Times New Roman"/>
                <w:sz w:val="18"/>
                <w:szCs w:val="18"/>
              </w:rPr>
              <w:br/>
              <w:t>c) The Offeror must provide infrastructure so that application performance remains the same or is improved.</w:t>
            </w:r>
            <w:r w:rsidRPr="008A1635">
              <w:rPr>
                <w:rFonts w:eastAsia="Times New Roman"/>
                <w:sz w:val="18"/>
                <w:szCs w:val="18"/>
              </w:rPr>
              <w:br/>
            </w:r>
            <w:r w:rsidRPr="008A1635">
              <w:rPr>
                <w:rFonts w:eastAsia="Times New Roman"/>
                <w:sz w:val="18"/>
                <w:szCs w:val="18"/>
              </w:rPr>
              <w:br/>
              <w:t>d) Baseline metrics are determined on an application by application basis and will be determined during transition planning.</w:t>
            </w:r>
          </w:p>
        </w:tc>
      </w:tr>
      <w:tr w:rsidR="00961AA2" w:rsidRPr="008D0A1C" w:rsidTr="00B3699F">
        <w:trPr>
          <w:cantSplit/>
          <w:trHeight w:val="1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Statement of Work</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is the current geospatial enterprise environment going to be managed? Is a GIS managed services approach being considered?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 GIS projects will be managed in the same manner as other Commonwealth projects.</w:t>
            </w:r>
            <w:r w:rsidRPr="008A1635">
              <w:rPr>
                <w:rFonts w:eastAsia="Times New Roman"/>
                <w:sz w:val="18"/>
                <w:szCs w:val="18"/>
              </w:rPr>
              <w:br/>
            </w:r>
            <w:r w:rsidRPr="008A1635">
              <w:rPr>
                <w:rFonts w:eastAsia="Times New Roman"/>
                <w:sz w:val="18"/>
                <w:szCs w:val="18"/>
              </w:rPr>
              <w:br/>
              <w:t>b) The scope of this procurement does not include outsourcing of GIS-specific services.</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 (b) (2)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Certification specified in this section are those held by individuals rather than the organization. What is the Commonwealth's requirement for quantity of professionals holding those certifications?</w:t>
            </w:r>
          </w:p>
        </w:tc>
        <w:tc>
          <w:tcPr>
            <w:tcW w:w="7920" w:type="dxa"/>
            <w:tcBorders>
              <w:top w:val="nil"/>
              <w:left w:val="nil"/>
              <w:bottom w:val="single" w:sz="4" w:space="0" w:color="auto"/>
              <w:right w:val="single" w:sz="4" w:space="0" w:color="auto"/>
            </w:tcBorders>
            <w:shd w:val="clear" w:color="auto" w:fill="auto"/>
            <w:hideMark/>
          </w:tcPr>
          <w:p w:rsidR="00961AA2" w:rsidRPr="00F46CA1" w:rsidRDefault="004229EA" w:rsidP="00B3699F">
            <w:pPr>
              <w:tabs>
                <w:tab w:val="center" w:pos="4680"/>
                <w:tab w:val="right" w:pos="9360"/>
              </w:tabs>
              <w:rPr>
                <w:rFonts w:eastAsia="Times New Roman"/>
                <w:strike/>
                <w:color w:val="FF0000"/>
                <w:sz w:val="18"/>
                <w:szCs w:val="18"/>
              </w:rPr>
            </w:pPr>
            <w:r w:rsidRPr="004229EA">
              <w:rPr>
                <w:rFonts w:eastAsia="Times New Roman"/>
                <w:strike/>
                <w:color w:val="FF0000"/>
                <w:sz w:val="18"/>
                <w:szCs w:val="18"/>
              </w:rPr>
              <w:t>At a minimum, the Chief Information Security Officer (CISO) provided by the Offeror must maintain current security certifications as stated in referenced section of Appendix A.  The Commonwealth has not defined the number of individuals that must hold the referenced certifications.   Offerors should propose their best solutions.</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J.2</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SL05</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confirm that there is no earn back eligibility for SL05 Application Infrastructure Availability - Basic, while there is earn back eligibility for silver and bronze levels.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Correct, there is no earn back eligibility for SL05 Application Infrastructure Availability - Basic.  Silver (SL03) and Bronze (SL04) are earn back eligible. </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  Exhibit D.7</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13(b)</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16-18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Commonwealth make detailed EDC engineering and architectural drawings and descriptions available to Offerors? When? In what form? What will be included?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Details about the EDC facility have been provided in Exhibits D.8 through D.12.  The Commonwealth will provide additional engineering and architectural drawings to the selected Offeror during transition planning.  </w:t>
            </w:r>
            <w:r w:rsidRPr="008A1635">
              <w:rPr>
                <w:rFonts w:eastAsia="Times New Roman"/>
                <w:bCs/>
                <w:sz w:val="18"/>
                <w:szCs w:val="18"/>
              </w:rPr>
              <w:t>These are confidential documents.  To receive a copy, please contact Sheryl Kimport, the Issuing Officer.</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a vendor’s data center or cloud offering is shared with other non-Commonwealth clients, do all workers in the facility need the required Commonwealth security clearances or only those specifically employed to perform the Commonwealth’s work?</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purposes of submitting a proposal, Offerors should assume all workers in the facility require Commonwealth security clearances.  The Commonwealth, at its sole discretion, may grant exceptions.</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Statement of Work</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will other Commonwealth State Agency GIS project based solutions going to be managed?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GIS projects will be managed in the same manner as other Commonwealth projects.  </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define “high risk”.</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In the referenced section of Schedule J.3, "High risk" is a patch assigned the "Critical" Severity Rating per ITB-SYM006, which defines the Commonwealth's patching policy.</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 (b)</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29</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detailed information about the Commonwealth's Invoice Processing System and its invoices so that compatibility with this system can be determined.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Invoices will be processed through the Commonwealth’s Remedy ITSM system’s Billing Module.  The current version of the Commonwealth's Enterprise Remedy is 7.6.04.  The selected Offeror must remain compatible with the appropriate version of the Commonwealth's ITSM system for the duration of the contract.  The billing interface currently is via an XML file transfer and processing.</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2.3.4</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are your encryption requirements for data at rest and data in motion - e.g. FIPS 140-2?</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ITBs SEC020 (Data at Rest) and SEC031 (Data in Motion) define the Commonwealth's policies on data at rest and data in motion.  Agencies may have additional requirements, such as FIPS 140-2.  The selected Offeror will identify additional requirements during transition for individual services and comply with those requirements.</w:t>
            </w:r>
          </w:p>
        </w:tc>
      </w:tr>
      <w:tr w:rsidR="00961AA2" w:rsidRPr="008D0A1C" w:rsidTr="00B3699F">
        <w:trPr>
          <w:cantSplit/>
          <w:trHeight w:val="38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 Exhibits</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exhibits do not provide the necessary system level software and hardware details required for the IBM/Unisys mainframes to propose a “like for like” configuration as required.  Please provide the level of detail that is missing.</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New exhibits have been added to the RFP.  Please see "Exhibit B.8 - Unisys Software - Dorado  Libra" contains the current software for the referenced Mainframes and "Exhibit B.7 - IBM MF SW Inventory v3" for additional details.</w:t>
            </w:r>
            <w:r w:rsidRPr="008A1635">
              <w:rPr>
                <w:rFonts w:eastAsia="Times New Roman"/>
                <w:sz w:val="18"/>
                <w:szCs w:val="18"/>
              </w:rPr>
              <w:br/>
            </w:r>
            <w:r w:rsidRPr="008A1635">
              <w:rPr>
                <w:rFonts w:eastAsia="Times New Roman"/>
                <w:sz w:val="18"/>
                <w:szCs w:val="18"/>
              </w:rPr>
              <w:br/>
              <w:t>Also please see the following Table</w:t>
            </w:r>
            <w:r w:rsidRPr="008A1635">
              <w:rPr>
                <w:rFonts w:eastAsia="Times New Roman"/>
                <w:sz w:val="18"/>
                <w:szCs w:val="18"/>
              </w:rPr>
              <w:br/>
              <w:t xml:space="preserve">                                                       SYSTEM/PARTITION</w:t>
            </w:r>
            <w:r w:rsidRPr="008A1635">
              <w:rPr>
                <w:rFonts w:eastAsia="Times New Roman"/>
                <w:sz w:val="18"/>
                <w:szCs w:val="18"/>
              </w:rPr>
              <w:br/>
              <w:t xml:space="preserve">                                         HSHA      HSHC      HSHF      HSHD</w:t>
            </w:r>
            <w:r w:rsidRPr="008A1635">
              <w:rPr>
                <w:rFonts w:eastAsia="Times New Roman"/>
                <w:sz w:val="18"/>
                <w:szCs w:val="18"/>
              </w:rPr>
              <w:br/>
              <w:t>IP's ………………………… 8             4              4            4</w:t>
            </w:r>
            <w:r w:rsidRPr="008A1635">
              <w:rPr>
                <w:rFonts w:eastAsia="Times New Roman"/>
                <w:sz w:val="18"/>
                <w:szCs w:val="18"/>
              </w:rPr>
              <w:br/>
              <w:t>MIPS……………..…….. 1750         400          850           50</w:t>
            </w:r>
            <w:r w:rsidRPr="008A1635">
              <w:rPr>
                <w:rFonts w:eastAsia="Times New Roman"/>
                <w:sz w:val="18"/>
                <w:szCs w:val="18"/>
              </w:rPr>
              <w:br/>
              <w:t>Memory (GW…………..…. 4              3              2             2</w:t>
            </w:r>
            <w:r w:rsidRPr="008A1635">
              <w:rPr>
                <w:rFonts w:eastAsia="Times New Roman"/>
                <w:sz w:val="18"/>
                <w:szCs w:val="18"/>
              </w:rPr>
              <w:br/>
              <w:t>CIOP (network IOP)…...…. 3              1              1             1</w:t>
            </w:r>
            <w:r w:rsidRPr="008A1635">
              <w:rPr>
                <w:rFonts w:eastAsia="Times New Roman"/>
                <w:sz w:val="18"/>
                <w:szCs w:val="18"/>
              </w:rPr>
              <w:br/>
              <w:t>Ethernet PCI (dual)…..….. 12             2              2             2</w:t>
            </w:r>
            <w:r w:rsidRPr="008A1635">
              <w:rPr>
                <w:rFonts w:eastAsia="Times New Roman"/>
                <w:sz w:val="18"/>
                <w:szCs w:val="18"/>
              </w:rPr>
              <w:br/>
              <w:t>SIOP (data IOP)……..…….. 3             2              2             1</w:t>
            </w:r>
            <w:r w:rsidRPr="008A1635">
              <w:rPr>
                <w:rFonts w:eastAsia="Times New Roman"/>
                <w:sz w:val="18"/>
                <w:szCs w:val="18"/>
              </w:rPr>
              <w:br/>
              <w:t>FIBRE PC ICard (dual)...… 12             5            10             5</w:t>
            </w:r>
            <w:r w:rsidRPr="008A1635">
              <w:rPr>
                <w:rFonts w:eastAsia="Times New Roman"/>
                <w:sz w:val="18"/>
                <w:szCs w:val="18"/>
              </w:rPr>
              <w:br/>
              <w:t>SCSI PCI (dual)………...…. 9              5              2            5</w:t>
            </w:r>
          </w:p>
          <w:p w:rsidR="00961AA2" w:rsidRPr="008A1635" w:rsidRDefault="00961AA2" w:rsidP="00B3699F">
            <w:pPr>
              <w:rPr>
                <w:rFonts w:eastAsia="Times New Roman"/>
                <w:sz w:val="18"/>
                <w:szCs w:val="18"/>
              </w:rPr>
            </w:pPr>
          </w:p>
          <w:p w:rsidR="00961AA2" w:rsidRPr="008A1635" w:rsidRDefault="00961AA2" w:rsidP="00B3699F">
            <w:pPr>
              <w:rPr>
                <w:rFonts w:eastAsia="Times New Roman"/>
                <w:sz w:val="18"/>
                <w:szCs w:val="18"/>
              </w:rPr>
            </w:pPr>
            <w:r w:rsidRPr="008A1635">
              <w:rPr>
                <w:rFonts w:eastAsia="Times New Roman"/>
                <w:bCs/>
                <w:sz w:val="18"/>
                <w:szCs w:val="18"/>
              </w:rPr>
              <w:t>This is a confidential document.  To receive a copy, please contact Sheryl Kimport, the Issuing Officer.</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SL16</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Should the formula read “= ((Number of Successful Recoveries) / (Total Number of Scheduled Recoveries Attempted)) expressed as a percentage”?</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No.  The Offeror must report on all Recoveries attempted not just those "Scheduled".</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3.2.4.6 Security and Firewall</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126, #6</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deep will penetration testing go on a system?</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Penetration testing must be as deep as is required to ensure an acceptable security posture. Levels of penetration testing must be discussed/approved by application owners.</w:t>
            </w:r>
          </w:p>
        </w:tc>
      </w:tr>
      <w:tr w:rsidR="00961AA2" w:rsidRPr="008D0A1C" w:rsidTr="00B3699F">
        <w:trPr>
          <w:cantSplit/>
          <w:trHeight w:val="4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B.1</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the Commonwealth provide more detail regarding the IBM software running on the IBM mainframes?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Please see 6100022698 - Exhibit B.7 - IBM MF SW Inventory v3 for additional details.  </w:t>
            </w:r>
            <w:r w:rsidRPr="008A1635">
              <w:rPr>
                <w:rFonts w:eastAsia="Times New Roman"/>
                <w:bCs/>
                <w:sz w:val="18"/>
                <w:szCs w:val="18"/>
              </w:rPr>
              <w:t>This is a confidential document.  To receive a copy, please contact Sheryl Kimport, the Issuing Officer.</w:t>
            </w:r>
          </w:p>
        </w:tc>
      </w:tr>
      <w:tr w:rsidR="00961AA2" w:rsidRPr="008D0A1C" w:rsidTr="00B3699F">
        <w:trPr>
          <w:cantSplit/>
          <w:trHeight w:val="1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Where SLA performance depends upon Commonwealth participation, how is a delay in such participation in the performance to be considered for SLA calculation purposes? An example may be where Commonwealth participation in a project is key to meeting the schedule with a consequence for SLA 11.</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see the definition #9 (Hold Time or Customer Time) within Schedule J.3 “Additional Definitions" section at the bottom of the schedule.</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D-04 Service Continuity Architecture and Plan</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are the definitions of the DR Tiers (Tier 0, 1, 2, 3 and 4) mentioned in Schedule K on page 18?</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 Section 3.1.3 Datacenter Architecture Requirement #5 states "Offeror must describe its tiered approach to the Disaster Recovery needs of the Commonwealth."  The Offeror is to define the DR Tiers. Schedule K, item D-04, "IT Service Continuity Architecture and Plan" requires that the Offeror develop a plan to transition to the appropriate tier.</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3.2.1.5.2 para #1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the description for DR tiers referenced as being in supporting documentation.</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 Section 3.1.3 Datacenter Architecture Requirement #5 states "Offeror must describe its tiered approach to the Disaster Recovery needs of the Commonwealth."  The Offeror is to define the DR Tiers. Schedule K, item D-04, "IT Service Continuity Architecture and Plan" requires that the Offeror develop a plan to transition to the appropriate tier.</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section describes the Tiered Service Delivery and DDR requirements to support Schedule F 3.2.1.5.2 on Page 53?</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 Section 3.1.3 Datacenter Architecture Requirement #5 states "Offeror must describe its tiered approach to the Disaster Recovery needs of the Commonwealth."  The Offeror is to define the DR Tiers. Schedule K, item D-04, "IT Service Continuity Architecture and Plan" requires that the Offeror develop a plan to transition to the appropriate tier.</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PART III    III-4</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24-25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the Commonwealth will not amend the Request for Proposal to include a requirement that the facilities be located within the Commonwealth of Pennsylvania then will the Commonwealth assess the cost of the lost tax revenue and lost jobs against the financial offering of the respondents who would locate outside the Commonwealth?</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I defines the information that will be used to evaluate Offerors' cost submittals.</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J.2</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Default Remedy Type column heading</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There is a (c) noted but no reference is provided to what this means. Please provide definition on item (c).</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J.2 has been updated.  The definition of (c) was hidden in the prior version.  The definition of (c) is "Amount listed for Key Measurements to be used in the event the Key Measurement becomes a Critical Measurement through the Change Management Process.  While the Service Level remains a Key Measurement no Default Remedies are due."</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3.2.4.6</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125, Item 7</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SLA reporting on server performance and availability should be addressed in section 3.2.4.4 page 115, Item 11.  Please clarify that the SLAs that should be addressed in section 3.2.4.6 Item 7 should be SLs 17 and 18.</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Security Infrastructure is a critical component of the Infrastructure procured by the Commonwealth.  The availability of all infrastructure is included in the configuration of the application centric infrastructure and therefore this infrastructure is subject to the requirements in SL01 through SL23, SL30 and SL31. </w:t>
            </w:r>
          </w:p>
        </w:tc>
      </w:tr>
      <w:tr w:rsidR="00961AA2" w:rsidRPr="008D0A1C" w:rsidTr="00B3699F">
        <w:trPr>
          <w:cantSplit/>
          <w:trHeight w:val="19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28</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“Catalog of Services” cost sheet be used to acquire all necessary hardware and software components not included in a services provider’s submitted price for a base Resource Unit?  If yes, how will the Commonwealth evaluate the total cost for mainframe and AIX configurations that need to meet or exceed the performance of the current configurations on an apples-to-apples basis?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"Catalog of Services" will be used for the Commonwealth to acquire all services from the Offeror .  The Volumetrics in Schedule I will be used to evaluate Offerors’ cost proposals and are not a minimum commitment or an all-inclusive representation of every service desired by the Commonwealth.  </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29</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D</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M-11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Operational Readiness dependency listed as None under Dependency of Commonwealth.  Shouldn’t there be a dependency based on the acceptance component?</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"Dependency on Commonwealth" has been modified in the updated version of Schedule D.</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you please elaborate on what is defined as At Risk Amount?  It is unclear if it represents the total monthly Services Invoice from the Offeror.</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“At-Risk Amount” is 15% of the total monthly enterprise invoice submitted to the Commonwealth by the contractor each month.</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3.2.4.7</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a baseline of databases that need to be supported, including server platform, database vendor, database major and minor version and number of database instances.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baseline of databases that needs to be supported are defined in the referenced section of the RFP.  Additional detail will be discovered during the transition planning.</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3.2.5.3</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confirm that the Commonwealth is really looking for “DR Infrastructure on Demand” that implies that it will only be paid for in the event of a disaster versus paying for typical DR services.    If correct, please provide your specific requirements for your use of the words “adequate inventory “as used in requirement number 1.</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is not looking for DR infrastructure on Demand as described within the question.  The Commonwealth requires DR services to be available for any application as part of the ordered service package.  On demand in this requirement indicates that the Commonwealth will change the DR requirements from time to time with or without a minimum duration.</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SL28</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direct impact to an agency if batch processing is not started on time, but completes on time? If there is no impact in this scenario, measurement of the service level may be superfluous.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requirements include both SL28 and SL29 in order to ensure that business needs are being met.</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Appendix A  Exhibit D.7</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13(b)</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16-18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EDC electric utility bills for the past two years.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Commonwealth's current billing for electric utility usage is not broken out to define usage specifically for the EDC.</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 better manage the costs required, please provide an indication on how governance will be applied to ensure agency compliance with enterprise direction.</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Commonwealth's Governance process is defined in Schedule B.  The Commonwealth will provide a contract administrator to serve as primary contact with the selected Offeror to resolve governance-related issues.</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3.3.2.1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150</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Under number 16, the Offeror must make available all system management platforms and tools that are currently supporting the Commonwealth infrastructure. Can a list of the tools required be provided?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following are application monitoring tools known to currently be in use by the Commonwealth : MS SCOM, MS SCCM, Paessler (External URL Testing), CiscoWorks, NIMS, syslog, Vmware vCenter, Idera SQL DM, Oracle OEM, Big Brother, EMC Data Protection Advisor, JC Metasys, IBM TPC, Tivoli ITCAM, SightLine, Wiley, SAP Solutions Manager, IBM Director, Nagius.   For purposes of submitting a proposal Offerors shall assume none of the Commonwealth monitoring tools may be leveraged.</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37</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3.1.3.4</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tools and processes exist today for application monitoring that can or must be leveraged by the Offeror?</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following are application monitoring tools known to currently be in use by the Commonwealth : MS SCOM, MS SCCM, Paessler (External URL Testing), CiscoWorks, NIMS, syslog, Vmware vCenter, Idera SQL DM, Oracle OEM, Big Brother, EMC Data Protection Advisor, JC Metasys, IBM TPC, Tivoli ITCAM, SightLine, Wiley, SAP Solutions Manager, IBM Director, Nagius.  For purposes of submitting a proposal Offerors shall assume none of the Commonwealth monitoring tools may be leveraged.</w:t>
            </w:r>
          </w:p>
        </w:tc>
      </w:tr>
      <w:tr w:rsidR="00961AA2" w:rsidRPr="008D0A1C" w:rsidTr="00B3699F">
        <w:trPr>
          <w:cantSplit/>
          <w:trHeight w:val="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38</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several specific examples of SLA defaults and how the default credit would be calculated, when the credit would appear on the invoice, when and if the credit could be earned back.</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The following are to be used as examples only and represent a limited number of possible scenarios.  The application of SLAS in the contract resulting from this RFP may vary from these examples.</w:t>
            </w:r>
            <w:r w:rsidRPr="008A1635">
              <w:rPr>
                <w:rFonts w:eastAsia="Times New Roman"/>
                <w:sz w:val="18"/>
                <w:szCs w:val="18"/>
              </w:rPr>
              <w:br/>
              <w:t>Assumptions used in these Scenarios:</w:t>
            </w:r>
            <w:r w:rsidRPr="008A1635">
              <w:rPr>
                <w:rFonts w:eastAsia="Times New Roman"/>
                <w:sz w:val="18"/>
                <w:szCs w:val="18"/>
              </w:rPr>
              <w:br/>
              <w:t>- 30 Day Month | SL03 used in all scenarios (99.900% Required &amp; 99.400% Earnback)</w:t>
            </w:r>
            <w:r w:rsidRPr="008A1635">
              <w:rPr>
                <w:rFonts w:eastAsia="Times New Roman"/>
                <w:sz w:val="18"/>
                <w:szCs w:val="18"/>
              </w:rPr>
              <w:br/>
              <w:t>- Commonwealth pays $10,000 per month for the infrastructure supporting application</w:t>
            </w:r>
            <w:r w:rsidRPr="008A1635">
              <w:rPr>
                <w:rFonts w:eastAsia="Times New Roman"/>
                <w:sz w:val="18"/>
                <w:szCs w:val="18"/>
              </w:rPr>
              <w:br/>
            </w:r>
            <w:r w:rsidRPr="008A1635">
              <w:rPr>
                <w:rFonts w:eastAsia="Times New Roman"/>
                <w:sz w:val="18"/>
                <w:szCs w:val="18"/>
              </w:rPr>
              <w:br/>
              <w:t>Scenario # 1</w:t>
            </w:r>
            <w:r w:rsidRPr="008A1635">
              <w:rPr>
                <w:rFonts w:eastAsia="Times New Roman"/>
                <w:sz w:val="18"/>
                <w:szCs w:val="18"/>
              </w:rPr>
              <w:br/>
              <w:t>- NO other SLA defaults have occurred within last 12 months</w:t>
            </w:r>
            <w:r w:rsidRPr="008A1635">
              <w:rPr>
                <w:rFonts w:eastAsia="Times New Roman"/>
                <w:sz w:val="18"/>
                <w:szCs w:val="18"/>
              </w:rPr>
              <w:br/>
              <w:t>- 2 network outages = 45 minutes + 1 server outage = 20 minutes</w:t>
            </w:r>
            <w:r w:rsidRPr="008A1635">
              <w:rPr>
                <w:rFonts w:eastAsia="Times New Roman"/>
                <w:sz w:val="18"/>
                <w:szCs w:val="18"/>
              </w:rPr>
              <w:br/>
              <w:t>- Total outage Minutes of 65 minutes</w:t>
            </w:r>
            <w:r w:rsidRPr="008A1635">
              <w:rPr>
                <w:rFonts w:eastAsia="Times New Roman"/>
                <w:sz w:val="18"/>
                <w:szCs w:val="18"/>
              </w:rPr>
              <w:br/>
              <w:t>- Availability at 99.850% (meets "Earnback Minimum" but not "Required")</w:t>
            </w:r>
            <w:r w:rsidRPr="008A1635">
              <w:rPr>
                <w:rFonts w:eastAsia="Times New Roman"/>
                <w:sz w:val="18"/>
                <w:szCs w:val="18"/>
              </w:rPr>
              <w:br/>
              <w:t>- Earnback eligible (Offeror must provide a report and track SLA Earnbacks)</w:t>
            </w:r>
            <w:r w:rsidRPr="008A1635">
              <w:rPr>
                <w:rFonts w:eastAsia="Times New Roman"/>
                <w:sz w:val="18"/>
                <w:szCs w:val="18"/>
              </w:rPr>
              <w:br/>
              <w:t>- Invoice shows $10,000 due from the Commonwealth</w:t>
            </w:r>
            <w:r w:rsidRPr="008A1635">
              <w:rPr>
                <w:rFonts w:eastAsia="Times New Roman"/>
                <w:sz w:val="18"/>
                <w:szCs w:val="18"/>
              </w:rPr>
              <w:br/>
            </w:r>
            <w:r w:rsidRPr="008A1635">
              <w:rPr>
                <w:rFonts w:eastAsia="Times New Roman"/>
                <w:sz w:val="18"/>
                <w:szCs w:val="18"/>
              </w:rPr>
              <w:br/>
              <w:t>Scenario # 2</w:t>
            </w:r>
            <w:r w:rsidRPr="008A1635">
              <w:rPr>
                <w:rFonts w:eastAsia="Times New Roman"/>
                <w:sz w:val="18"/>
                <w:szCs w:val="18"/>
              </w:rPr>
              <w:br/>
              <w:t>- ONE other SLA defaults have occurred within last 12 months</w:t>
            </w:r>
            <w:r w:rsidRPr="008A1635">
              <w:rPr>
                <w:rFonts w:eastAsia="Times New Roman"/>
                <w:sz w:val="18"/>
                <w:szCs w:val="18"/>
              </w:rPr>
              <w:br/>
              <w:t>- 2 network outages = 45 minutes + 1 server outage = 20 minutes</w:t>
            </w:r>
            <w:r w:rsidRPr="008A1635">
              <w:rPr>
                <w:rFonts w:eastAsia="Times New Roman"/>
                <w:sz w:val="18"/>
                <w:szCs w:val="18"/>
              </w:rPr>
              <w:br/>
              <w:t>- Total outage Minutes of 65 minutes</w:t>
            </w:r>
            <w:r w:rsidRPr="008A1635">
              <w:rPr>
                <w:rFonts w:eastAsia="Times New Roman"/>
                <w:sz w:val="18"/>
                <w:szCs w:val="18"/>
              </w:rPr>
              <w:br/>
              <w:t>- Availability at 99.850% (meets "Earnback Minimum" but not "Required")</w:t>
            </w:r>
            <w:r w:rsidRPr="008A1635">
              <w:rPr>
                <w:rFonts w:eastAsia="Times New Roman"/>
                <w:sz w:val="18"/>
                <w:szCs w:val="18"/>
              </w:rPr>
              <w:br/>
              <w:t>- Earnback eligible (Offeror must provide a report and track SLA Earnbacks)</w:t>
            </w:r>
            <w:r w:rsidRPr="008A1635">
              <w:rPr>
                <w:rFonts w:eastAsia="Times New Roman"/>
                <w:sz w:val="18"/>
                <w:szCs w:val="18"/>
              </w:rPr>
              <w:br/>
              <w:t>- Invoice shows $10,000 due from the Commonwealth for current charges and $10,000 credit for previous SLA default (Earnback Credit rescinded)</w:t>
            </w:r>
            <w:r w:rsidRPr="008A1635">
              <w:rPr>
                <w:rFonts w:eastAsia="Times New Roman"/>
                <w:sz w:val="18"/>
                <w:szCs w:val="18"/>
              </w:rPr>
              <w:br/>
            </w:r>
            <w:r w:rsidRPr="008A1635">
              <w:rPr>
                <w:rFonts w:eastAsia="Times New Roman"/>
                <w:sz w:val="18"/>
                <w:szCs w:val="18"/>
              </w:rPr>
              <w:br/>
              <w:t>Scenario # 3</w:t>
            </w:r>
            <w:r w:rsidRPr="008A1635">
              <w:rPr>
                <w:rFonts w:eastAsia="Times New Roman"/>
                <w:sz w:val="18"/>
                <w:szCs w:val="18"/>
              </w:rPr>
              <w:br/>
              <w:t>- 2 network outages = 45 minutes + 3 server outage = 220 minutes</w:t>
            </w:r>
            <w:r w:rsidRPr="008A1635">
              <w:rPr>
                <w:rFonts w:eastAsia="Times New Roman"/>
                <w:sz w:val="18"/>
                <w:szCs w:val="18"/>
              </w:rPr>
              <w:br/>
              <w:t>- Total outage Minutes of 265 minutes</w:t>
            </w:r>
            <w:r w:rsidRPr="008A1635">
              <w:rPr>
                <w:rFonts w:eastAsia="Times New Roman"/>
                <w:sz w:val="18"/>
                <w:szCs w:val="18"/>
              </w:rPr>
              <w:br/>
              <w:t>- NO pending Earnback for this Application</w:t>
            </w:r>
            <w:r w:rsidRPr="008A1635">
              <w:rPr>
                <w:rFonts w:eastAsia="Times New Roman"/>
                <w:sz w:val="18"/>
                <w:szCs w:val="18"/>
              </w:rPr>
              <w:br/>
              <w:t>- Availability at 99.378% (does not meet "Earnback Minimum" or "Required")</w:t>
            </w:r>
            <w:r w:rsidRPr="008A1635">
              <w:rPr>
                <w:rFonts w:eastAsia="Times New Roman"/>
                <w:sz w:val="18"/>
                <w:szCs w:val="18"/>
              </w:rPr>
              <w:br/>
              <w:t xml:space="preserve">- NOT Earnback eligible </w:t>
            </w:r>
            <w:r w:rsidRPr="008A1635">
              <w:rPr>
                <w:rFonts w:eastAsia="Times New Roman"/>
                <w:sz w:val="18"/>
                <w:szCs w:val="18"/>
              </w:rPr>
              <w:br/>
              <w:t>- Invoice shows $10,000 due from the Commonwealth for current charges and $10,000 credit for SLA default</w:t>
            </w:r>
            <w:r w:rsidRPr="008A1635">
              <w:rPr>
                <w:rFonts w:eastAsia="Times New Roman"/>
                <w:sz w:val="18"/>
                <w:szCs w:val="18"/>
              </w:rPr>
              <w:br/>
            </w:r>
            <w:r w:rsidRPr="008A1635">
              <w:rPr>
                <w:rFonts w:eastAsia="Times New Roman"/>
                <w:sz w:val="18"/>
                <w:szCs w:val="18"/>
              </w:rPr>
              <w:br/>
              <w:t>Scenario # 4</w:t>
            </w:r>
            <w:r w:rsidRPr="008A1635">
              <w:rPr>
                <w:rFonts w:eastAsia="Times New Roman"/>
                <w:sz w:val="18"/>
                <w:szCs w:val="18"/>
              </w:rPr>
              <w:br/>
              <w:t>- 2 network outages = 45 minutes + 3 server outage = 220 minutes</w:t>
            </w:r>
            <w:r w:rsidRPr="008A1635">
              <w:rPr>
                <w:rFonts w:eastAsia="Times New Roman"/>
                <w:sz w:val="18"/>
                <w:szCs w:val="18"/>
              </w:rPr>
              <w:br/>
              <w:t>- Total outage Minutes of 265 minutes</w:t>
            </w:r>
            <w:r w:rsidRPr="008A1635">
              <w:rPr>
                <w:rFonts w:eastAsia="Times New Roman"/>
                <w:sz w:val="18"/>
                <w:szCs w:val="18"/>
              </w:rPr>
              <w:br/>
              <w:t>- Pending Earnback for this Application</w:t>
            </w:r>
            <w:r w:rsidRPr="008A1635">
              <w:rPr>
                <w:rFonts w:eastAsia="Times New Roman"/>
                <w:sz w:val="18"/>
                <w:szCs w:val="18"/>
              </w:rPr>
              <w:br/>
              <w:t>- Availability at 99.378% (does not meet "Earnback Minimum" or "Required")</w:t>
            </w:r>
            <w:r w:rsidRPr="008A1635">
              <w:rPr>
                <w:rFonts w:eastAsia="Times New Roman"/>
                <w:sz w:val="18"/>
                <w:szCs w:val="18"/>
              </w:rPr>
              <w:br/>
              <w:t xml:space="preserve">- NOT Earnback eligible </w:t>
            </w:r>
            <w:r w:rsidRPr="008A1635">
              <w:rPr>
                <w:rFonts w:eastAsia="Times New Roman"/>
                <w:sz w:val="18"/>
                <w:szCs w:val="18"/>
              </w:rPr>
              <w:br/>
              <w:t>- Invoice shows $10,000 due from the Commonwealth for current charges and $10,000 credit for SLA default plus $10,000 credit for failing to meet the Earnback from pending Earnback Eligible SLA default.</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39</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B.1  DPH – Asset List</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“GAME” Tab</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1,Line # 5, Line #14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For the two Unisys Libra 400 machines, please confirm (or clarify) that the Operating Systems are Windows Server (and that MCP in not used).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Libra 400 machines operate on Windows Server 2003 R2 X64 SP2/MCP 13.</w:t>
            </w:r>
            <w:r w:rsidRPr="008A1635">
              <w:rPr>
                <w:rFonts w:eastAsia="Times New Roman"/>
                <w:sz w:val="18"/>
                <w:szCs w:val="18"/>
              </w:rPr>
              <w:br/>
            </w:r>
            <w:r w:rsidRPr="008A1635">
              <w:rPr>
                <w:rFonts w:eastAsia="Times New Roman"/>
                <w:sz w:val="18"/>
                <w:szCs w:val="18"/>
              </w:rPr>
              <w:br/>
              <w:t>MCP13 is used.</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40</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3.2.4.8</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“Limited-Use Co-location Services."  Although this section states that the Commonwealth’s goal is to move to a fully managed infrastructure services model, it does not place a timeframe or amount of “Limited-Use Co-location services needed.    Please provide the requirements for the amount of co-location floor space needed and the length of time that floor will be needed.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maximum space needed to accommodate EDC Co-Location space is 3,800 sq. ft.  In addition, cooling and power requirements for approximately 500 servers and storage arrays must be provided. The length of time that  space, cooling and power requirements will be needed will be dictated by the business and technical lifecycle of the co-located applications and associated infrastructure.</w:t>
            </w:r>
          </w:p>
        </w:tc>
      </w:tr>
      <w:tr w:rsidR="00961AA2" w:rsidRPr="008D0A1C" w:rsidTr="00B3699F">
        <w:trPr>
          <w:cantSplit/>
          <w:trHeight w:val="1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  Offeror Pricing Forms</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4.Managed Services (Only)  10. Catalog of Services</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do unit rates for catalog services tab #10 differ from unit rates to be provided in Managed Services tab #4?</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is to fill Tab #4 (Managed Services Only) with the total cost of the combined catalog items to meet the configuration defined within the Tab.</w:t>
            </w:r>
            <w:r w:rsidRPr="008A1635">
              <w:rPr>
                <w:rFonts w:eastAsia="Times New Roman"/>
                <w:sz w:val="18"/>
                <w:szCs w:val="18"/>
              </w:rPr>
              <w:br/>
            </w:r>
            <w:r w:rsidRPr="008A1635">
              <w:rPr>
                <w:rFonts w:eastAsia="Times New Roman"/>
                <w:sz w:val="18"/>
                <w:szCs w:val="18"/>
              </w:rPr>
              <w:br/>
              <w:t xml:space="preserve">The Offeror is to fill Tab #10 (Catalog of Services) with the individual price point / configuration items that are being offered to the Commonwealth. </w:t>
            </w:r>
          </w:p>
        </w:tc>
      </w:tr>
      <w:tr w:rsidR="00961AA2" w:rsidRPr="008D0A1C" w:rsidTr="00B3699F">
        <w:trPr>
          <w:cantSplit/>
          <w:trHeight w:val="120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1.Volumetrics</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need separate volume metrics for database support services or disaster recovery?  Or should these services be allocated across all pricing rates?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is to provide Database support services within Tab 6 (Technical Staff Rate Card) only.  DR services are specified within the scenarios defined within Tab 1 (Volumetrics).  Therefore, the Offeror should not allocate these services across all pricing rates.  Information provided by the Offeror in Schedule I is intended for cost evaluation purposes only.</w:t>
            </w:r>
          </w:p>
        </w:tc>
      </w:tr>
      <w:tr w:rsidR="00961AA2" w:rsidRPr="008D0A1C" w:rsidTr="00B3699F">
        <w:trPr>
          <w:cantSplit/>
          <w:trHeight w:val="19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2.3.4</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With regard to item 2: DBFW: What is the Commonwealth's expectation with regard to the Offeror's responsibility to Discover new databases and database objects in scope for security and compliance projects and automatically apply appropriate protection and audit policies?  No, not automatically enabled on case by case basis    How will the Commonwealth contribute to this effort?</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Offeror must discover and report on new databases and objects that are in scope for security and compliance projects.  The Offeror should report the discoveries to the Commonwealth and take appropriate action once directed to do so by the Commonwealth.   </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  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SL20  3.2.1.2 #5</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30  39</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SLA describes a Formal RCA as due in 10 days. Schedule F, section 3.2.1.2 #5 on page 39, requires an RCA within 5 days. Are these addressing the same requirement? If so, which applies?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Offeror must provide the RCA within ten (10) Business Days from the request of the RCA. The requirement specific to delivery of the RCA report has been modified in the updated version of Schedule F.</w:t>
            </w:r>
          </w:p>
        </w:tc>
      </w:tr>
      <w:tr w:rsidR="00961AA2" w:rsidRPr="008D0A1C" w:rsidTr="00B3699F">
        <w:trPr>
          <w:cantSplit/>
          <w:trHeight w:val="4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EDC tour</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Tour</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percent of the raised floor is open and available for additional load?</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percentage of raised floor that is open and available for additional load changes weekly based on virtualization efforts.</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SL23</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calculation may incorrectly count a Change Management Request in the denominator when it may actually be scheduled in a later period. Should the formula read “=((Number of Successful Change Management Requests) / (Total Number of Change Management Requests Scheduled)) expressed as a percentage”?</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referenced formula has been modified in the updated version of Schedule J.3.</w:t>
            </w:r>
          </w:p>
        </w:tc>
      </w:tr>
      <w:tr w:rsidR="00961AA2" w:rsidRPr="008D0A1C" w:rsidTr="00B3699F">
        <w:trPr>
          <w:cantSplit/>
          <w:trHeight w:val="16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47</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SL30</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calculation appears to incorrectly counting total reports in the denominator when some part of the total reports may actually be scheduled for delivery in a subsequent measurement period. Should the formula read “= ((Number Of Reports Delivered On Time) / (Total Number Of Reports Scheduled To Be Delivered)) expressed as a percentage”?</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referenced formula has been modified in the updated version of Schedule J.3.</w:t>
            </w:r>
          </w:p>
        </w:tc>
      </w:tr>
      <w:tr w:rsidR="00961AA2" w:rsidRPr="008D0A1C" w:rsidTr="00B3699F">
        <w:trPr>
          <w:cantSplit/>
          <w:trHeight w:val="1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48</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requirement 2, a reference to requiring Raw Data Storage (Archives) from the Service Level Management tools is required.  Is there a required minimum amount of time (one month, 3 months, one year) that the archive must be online or retained to support this capability to allow Commonwealth access to the raw data?</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is responsible for storing raw data used to generate SLA reports for the duration of the contract plus 3 years.  The selected Offeror must make that raw data available to the Commonwealth via the Offeror hosted Knowledge Management Portal for no-less than the most recent 13 months.  Data older than the most recent 13 months must be provided on request in a format prescribed by the Commonwealth within 5 business days.</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49</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Who has the financial responsibility for 3</w:t>
            </w:r>
            <w:r w:rsidRPr="008A1635">
              <w:rPr>
                <w:rFonts w:eastAsia="Times New Roman"/>
                <w:color w:val="000000"/>
                <w:sz w:val="18"/>
                <w:szCs w:val="18"/>
                <w:vertAlign w:val="superscript"/>
              </w:rPr>
              <w:t>rd</w:t>
            </w:r>
            <w:r w:rsidRPr="008A1635">
              <w:rPr>
                <w:rFonts w:eastAsia="Times New Roman"/>
                <w:color w:val="000000"/>
                <w:sz w:val="18"/>
                <w:szCs w:val="18"/>
              </w:rPr>
              <w:t xml:space="preserve"> party software related to the “additional licenses needed for the transition of service” as defined in this section?</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 xml:space="preserve">The selected Offeror is responsible for the additional third-party licenses required for transition.  </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50</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3.2.4.1</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 Offeror expected to provide SSL hardware offloading capabilities for the web applications?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must provide SSL hardware offloading capabilities for web applications.  It may provide this capability with any solution that utilizes industry best practices.</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51</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When will the Service Provider be responsible for any SLAs penalties for facility failures related to the EDC facility?</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selected offeror will become responsible for the SLAs for the services provided from the EDC upon completion of the EDC transition.  </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52</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B.1</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Mainframes - IBM</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Lines 14-96</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exhibit shows the current zLinux images running for DOT.  This shows fewer machines than the Schedule I Base Units -Volumetrics of 100.  Could the Commonwealth please reconcile?</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There are currently  93 zLinux images running for DOT.   The Volumetrics in Schedule I will be used to evaluate Offerors’ cost proposals and are not a minimum commitment or an all-inclusive representation of every service desired by the Commonwealth.  </w:t>
            </w:r>
          </w:p>
        </w:tc>
      </w:tr>
      <w:tr w:rsidR="00961AA2" w:rsidRPr="008D0A1C" w:rsidTr="00B3699F">
        <w:trPr>
          <w:cantSplit/>
          <w:trHeight w:val="144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53</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SL01 - SL05</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9-Jan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list the server hardware or infrastructure characteristics that drive each of the five levels of servers and which supports the application availability SLAs.  Ex.: Platinum = SAN Attached, dual HBA, dual network connections, clustered servers in an active/active configuration.</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When the Commonwealth orders a service, it will work with the selected Offeror to identify the hardware or infrastructure required to support the requested SLA.</w:t>
            </w:r>
          </w:p>
        </w:tc>
      </w:tr>
      <w:tr w:rsidR="00961AA2" w:rsidRPr="008D0A1C" w:rsidTr="00B3699F">
        <w:trPr>
          <w:cantSplit/>
          <w:trHeight w:val="72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54</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2.3.4 Data Protection</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11-Oct</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Offeror monitoring and/or reporting of confidential data usage expected for both Offeror and Commonwealth staff?</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Yes, the selected Offeror will monitor and/or report on confidential data usage for both Offeror and Commonwealth staff.  </w:t>
            </w:r>
          </w:p>
        </w:tc>
      </w:tr>
      <w:tr w:rsidR="00961AA2" w:rsidRPr="008D0A1C" w:rsidTr="00B3699F">
        <w:trPr>
          <w:cantSplit/>
          <w:trHeight w:val="48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55</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SL22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Some vendors utilize Critical rather than High-Risk to denote patch risk.  Are the 2 terms synonymous?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Please refer to ITB-SYM006 for the Commonwealth's patching policy.  For this SLA, "high risk" is a patch assigned the "Critical" Severity Rating per the ITB.</w:t>
            </w:r>
          </w:p>
        </w:tc>
      </w:tr>
      <w:tr w:rsidR="00961AA2" w:rsidRPr="008D0A1C" w:rsidTr="00B3699F">
        <w:trPr>
          <w:cantSplit/>
          <w:trHeight w:val="960"/>
        </w:trPr>
        <w:tc>
          <w:tcPr>
            <w:tcW w:w="939"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56</w:t>
            </w:r>
          </w:p>
        </w:tc>
        <w:tc>
          <w:tcPr>
            <w:tcW w:w="957"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79"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3.1.2</w:t>
            </w:r>
          </w:p>
        </w:tc>
        <w:tc>
          <w:tcPr>
            <w:tcW w:w="7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Item 7 references CJIS data. CJIS requires encryption of user encryption keys as well as data. Whose responsibility is it to ensure such levels of security typically involving HSMs?</w:t>
            </w:r>
          </w:p>
        </w:tc>
        <w:tc>
          <w:tcPr>
            <w:tcW w:w="792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requirement of the signed CJIS Security Addendum allows the responsibility to reside with a vendor on behalf of PSP.  The final decision on responsibility will depend upon the proposed solution and will be discussed in more detail during the agency transition planning.</w:t>
            </w:r>
          </w:p>
        </w:tc>
      </w:tr>
    </w:tbl>
    <w:p w:rsidR="00961AA2" w:rsidRDefault="00961AA2">
      <w:pPr>
        <w:rPr>
          <w:b/>
          <w:i/>
        </w:rPr>
      </w:pPr>
    </w:p>
    <w:p w:rsidR="00961AA2" w:rsidRDefault="00961AA2">
      <w:pPr>
        <w:rPr>
          <w:b/>
          <w:i/>
        </w:rPr>
      </w:pPr>
    </w:p>
    <w:p w:rsidR="00961AA2" w:rsidRDefault="00961AA2">
      <w:pPr>
        <w:rPr>
          <w:b/>
          <w:i/>
        </w:rPr>
      </w:pPr>
    </w:p>
    <w:p w:rsidR="00961AA2" w:rsidRDefault="00961AA2">
      <w:pPr>
        <w:rPr>
          <w:b/>
          <w:i/>
        </w:rPr>
      </w:pPr>
    </w:p>
    <w:tbl>
      <w:tblPr>
        <w:tblW w:w="17655" w:type="dxa"/>
        <w:tblInd w:w="93" w:type="dxa"/>
        <w:tblLayout w:type="fixed"/>
        <w:tblLook w:val="04A0"/>
      </w:tblPr>
      <w:tblGrid>
        <w:gridCol w:w="908"/>
        <w:gridCol w:w="1216"/>
        <w:gridCol w:w="951"/>
        <w:gridCol w:w="720"/>
        <w:gridCol w:w="5850"/>
        <w:gridCol w:w="8010"/>
      </w:tblGrid>
      <w:tr w:rsidR="00961AA2" w:rsidRPr="00AF0D8E" w:rsidTr="00B3699F">
        <w:trPr>
          <w:cantSplit/>
          <w:trHeight w:val="300"/>
          <w:tblHeader/>
        </w:trPr>
        <w:tc>
          <w:tcPr>
            <w:tcW w:w="17655" w:type="dxa"/>
            <w:gridSpan w:val="6"/>
            <w:tcBorders>
              <w:top w:val="single" w:sz="4" w:space="0" w:color="auto"/>
              <w:left w:val="single" w:sz="4" w:space="0" w:color="auto"/>
              <w:bottom w:val="single" w:sz="4" w:space="0" w:color="auto"/>
              <w:right w:val="single" w:sz="4" w:space="0" w:color="auto"/>
            </w:tcBorders>
            <w:shd w:val="clear" w:color="000000" w:fill="C6D9F1" w:themeFill="text2" w:themeFillTint="33"/>
          </w:tcPr>
          <w:p w:rsidR="00961AA2" w:rsidRPr="008A1635" w:rsidRDefault="00961AA2" w:rsidP="00B3699F">
            <w:pPr>
              <w:rPr>
                <w:rFonts w:eastAsia="Times New Roman"/>
                <w:b/>
                <w:bCs/>
                <w:color w:val="000000"/>
                <w:sz w:val="18"/>
                <w:szCs w:val="18"/>
              </w:rPr>
            </w:pPr>
            <w:r w:rsidRPr="008A1635">
              <w:rPr>
                <w:b/>
                <w:i/>
                <w:sz w:val="18"/>
                <w:szCs w:val="18"/>
              </w:rPr>
              <w:t>Addendum 11 – Round 1, Part 6</w:t>
            </w:r>
          </w:p>
        </w:tc>
      </w:tr>
      <w:tr w:rsidR="00961AA2" w:rsidRPr="008D0A1C" w:rsidTr="00B3699F">
        <w:trPr>
          <w:cantSplit/>
          <w:trHeight w:val="300"/>
          <w:tblHeader/>
        </w:trPr>
        <w:tc>
          <w:tcPr>
            <w:tcW w:w="908" w:type="dxa"/>
            <w:tcBorders>
              <w:top w:val="single" w:sz="4" w:space="0" w:color="auto"/>
              <w:left w:val="single" w:sz="4" w:space="0" w:color="auto"/>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 </w:t>
            </w:r>
          </w:p>
        </w:tc>
        <w:tc>
          <w:tcPr>
            <w:tcW w:w="1216"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951"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72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585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801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Answer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3.2.3.1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85</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Please comment on the importance (High, Medium, Low) of the following requirement of certification at the datacenters:  Microsoft Gold Certified Partner, Hosting &amp; App Services  HP SP Signature Certified, Hosting Services  SAS 70 Type II Certified  Cisco Powered Network  PCI DSS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Commonwealth does not provide detailed evaluation criteria.</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Security Management</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3.2.2.5</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76</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Q1. Please define the scope of the offeror’s responsibilities for the below requirement.  The Offeror must support all related system audits at the Offeror’s expense”.    “The Security Management service must ensure the confidentiality, integrity and availability of Commonwealth information and infrastructure systems.  All support and implementation activities must be conducted in accordance with, but not limited to, leading industry and Commonwealth standards, which included, but are not limited to, ISO 27001:2005 and ISO 27002:2005.  The Offeror must support all related system audits at the Offeror’s expense”.    Q2. Please comment as to whether offeror is to provide assessment services regarding the security posture of each agency in order to determine its level of compliance with all pertinent laws, regulations, and policies in the current state, transition state, and final [end] state architectures………    The Offeror must work with each agency to understand and ensure compliance with all laws, regulations, and policies as it pertain to each individual agency.</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Q1:  The selected Offeror must provide resources, documentation, physical tours, policies, etc. to provide whatever is required for system audits at the Offerors expense.</w:t>
            </w:r>
            <w:r w:rsidRPr="008A1635">
              <w:rPr>
                <w:rFonts w:eastAsia="Times New Roman"/>
                <w:bCs/>
                <w:color w:val="000000"/>
                <w:sz w:val="18"/>
                <w:szCs w:val="18"/>
              </w:rPr>
              <w:br/>
            </w:r>
            <w:r w:rsidRPr="008A1635">
              <w:rPr>
                <w:rFonts w:eastAsia="Times New Roman"/>
                <w:bCs/>
                <w:color w:val="000000"/>
                <w:sz w:val="18"/>
                <w:szCs w:val="18"/>
              </w:rPr>
              <w:br/>
            </w:r>
            <w:r w:rsidRPr="008A1635">
              <w:rPr>
                <w:rFonts w:eastAsia="Times New Roman"/>
                <w:bCs/>
                <w:color w:val="000000"/>
                <w:sz w:val="18"/>
                <w:szCs w:val="18"/>
              </w:rPr>
              <w:br/>
              <w:t>Q2:  Yes, the selected Offerer must provide assessment services under agency guidance.</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Asset Schedules</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the ages of the assets or should the Offeror make a simplifying assumption such as 20 percent of the assets to be refreshed each year?</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the purposes of submitting a proposal Offerors should assume 20% of the assets to be refreshed each year.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3.2.2.4</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Page 72</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many Disaster Recovery plans does the Commonwealth have in place today?</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The Commonwealth has multiple disaster recovery plans in place today, utilizing multiple DR sites with varying levels of DR capabilities.  Current disaster recovery needs are determined at an application level and agency DR requirements will be determined during the transition phase of the procurement.  The Commonwealth's disaster recovery needs will be based on the services procured through the catalog of services.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5</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2.3.4 Data Protection</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10</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Regarding encryption, where is the data that needs to be encrypted located?  What platforms are involved?  For data in motion is encryption required in the server and on the wire (“end-to-end”)?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Commonwealth expects the selected Offeror to determine this during transition planning in cooperation with the application/data owner.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6</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2.3.4 Data Protection</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11-Oct</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are the tools in place today for DLP and DBFW?</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current DLP solution is Cisco Ironport, which is used to monitor outbound email only. Email DLP is only in place in a limited fashion with only some small groups using DLP rules. Ironport is also used to encrypt data upon designation by the sender. There are no current DBFW tools in place.</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7</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  Schedule I</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For those services requested in the SOW without a corresponding Baseline Units - Volumetric in Schedule I, does the Commonwealth expect those prices to be included in the Service Catalog?  Without a baseline, how will the Commonwealth ensure a level evaluation between bidders?  Examples of such services include: DR Planning and Testing, ERP Hosting, Security &amp; Firewall and Database Management Services.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 Yes, provide a price for all services in the catalog.</w:t>
            </w:r>
            <w:r w:rsidRPr="008A1635">
              <w:rPr>
                <w:rFonts w:eastAsia="Times New Roman"/>
                <w:bCs/>
                <w:color w:val="000000"/>
                <w:sz w:val="18"/>
                <w:szCs w:val="18"/>
              </w:rPr>
              <w:br/>
              <w:t>2. The Commonwealth has established multiple scenarios of infrastructure configurations specifically for pricing evaluation, as set forth in Schedule I.    The Volumetrics in Schedule I will be used to evaluate Offerors’ cost proposals and are not a minimum commitment or an all-inclusive representation of every service desired by the Commonwealth.</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8</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I</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1.Volumemetrics</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Lines 216-218</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storage metrics seem inconsistent compared to today’s actual allocations.  Are these as desired by the Commonwealth?</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Volumetrics in Schedule I will be used to evaluate Offerors’ cost proposals and are not a minimum commitment or an all-inclusive representation of every service desired by the Commonwealth.  Offerors must respond to Schedule I as presented.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9</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 Establish Datacenter Architecture</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If a recompile is required is it still considered a like-for-like platform?</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No</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10</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Are there any areas on the property that is restricted for locating any equipment?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clarify the question and provide more details or examples.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11</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Could the Commonwealth describe the operation of the electrical system in the event of a power outage, generator failure and UPS failure?</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information is provided in Exhibit D.12 - Electrical failure sequence.  This is a confidential document.  To receive a copy, please contact Sheryl Kimport, the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12</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there a drawing showing the locations of the PDU's/ RPP's in the data center?  Can the drawing be provided for review?</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Details about the EDC facility have been provided in Exhibits D.8 through D.12.   This is a confidential document.  To receive a copy, please contact Sheryl Kimport, the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13</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  Exhibit D.7 EDC Facility Summary and Requirements  Facilities - Architecture</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there a drawing indicating the location of each CRAC unit in the data centers?    Can it be provided for review?</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Yes, the document exists and can be provided for review; however, it is confidential.  To receive a copy, please contact Sheryl Kimport,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14</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3.2.2.5 Security Management</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76-79</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        Does CoPA have the in house skills (certified) to harvest SIEM benefits?  Is a predictive monthly cost a requirement of the security environment?  Does CoPA require an over SOC, single pane of glass approach?  In other words, is there a method in place to map security requirements, CoPA regulatory requirements and SLA management across the contract?  Does CoPA require 24x7 support?  Does CoPA expect the Offeror to apply business analytics?  In other word, is it expected ha intelligence to feed the ESM implementation?  Who will be responsible to manage the tuning and operation of SourceFire IDS?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Commonwealth has the in-house skills to harvest SIEM benefits.</w:t>
            </w:r>
            <w:r w:rsidRPr="008A1635">
              <w:rPr>
                <w:rFonts w:eastAsia="Times New Roman"/>
                <w:bCs/>
                <w:color w:val="000000"/>
                <w:sz w:val="18"/>
                <w:szCs w:val="18"/>
              </w:rPr>
              <w:br/>
            </w:r>
            <w:r w:rsidRPr="008A1635">
              <w:rPr>
                <w:rFonts w:eastAsia="Times New Roman"/>
                <w:bCs/>
                <w:color w:val="000000"/>
                <w:sz w:val="18"/>
                <w:szCs w:val="18"/>
              </w:rPr>
              <w:br/>
              <w:t>Offerors shall include security costs in the infrastructure costs. A separate charge for security is not allowed.</w:t>
            </w:r>
            <w:r w:rsidRPr="008A1635">
              <w:rPr>
                <w:rFonts w:eastAsia="Times New Roman"/>
                <w:bCs/>
                <w:color w:val="000000"/>
                <w:sz w:val="18"/>
                <w:szCs w:val="18"/>
              </w:rPr>
              <w:br/>
            </w:r>
            <w:r w:rsidRPr="008A1635">
              <w:rPr>
                <w:rFonts w:eastAsia="Times New Roman"/>
                <w:bCs/>
                <w:color w:val="000000"/>
                <w:sz w:val="18"/>
                <w:szCs w:val="18"/>
              </w:rPr>
              <w:br/>
              <w:t>The Commonwealth does not require an over SOC, single pane of glass approach.</w:t>
            </w:r>
            <w:r w:rsidRPr="008A1635">
              <w:rPr>
                <w:rFonts w:eastAsia="Times New Roman"/>
                <w:bCs/>
                <w:color w:val="000000"/>
                <w:sz w:val="18"/>
                <w:szCs w:val="18"/>
              </w:rPr>
              <w:br/>
            </w:r>
            <w:r w:rsidRPr="008A1635">
              <w:rPr>
                <w:rFonts w:eastAsia="Times New Roman"/>
                <w:bCs/>
                <w:color w:val="000000"/>
                <w:sz w:val="18"/>
                <w:szCs w:val="18"/>
              </w:rPr>
              <w:br/>
              <w:t>The Commonwealth requires 24x7 support.</w:t>
            </w:r>
            <w:r w:rsidRPr="008A1635">
              <w:rPr>
                <w:rFonts w:eastAsia="Times New Roman"/>
                <w:bCs/>
                <w:color w:val="000000"/>
                <w:sz w:val="18"/>
                <w:szCs w:val="18"/>
              </w:rPr>
              <w:br/>
            </w:r>
            <w:r w:rsidRPr="008A1635">
              <w:rPr>
                <w:rFonts w:eastAsia="Times New Roman"/>
                <w:bCs/>
                <w:color w:val="000000"/>
                <w:sz w:val="18"/>
                <w:szCs w:val="18"/>
              </w:rPr>
              <w:br/>
              <w:t>The Commonwealth requires the selected Offeror to apply security analytics.</w:t>
            </w:r>
            <w:r w:rsidRPr="008A1635">
              <w:rPr>
                <w:rFonts w:eastAsia="Times New Roman"/>
                <w:bCs/>
                <w:color w:val="000000"/>
                <w:sz w:val="18"/>
                <w:szCs w:val="18"/>
              </w:rPr>
              <w:br/>
            </w:r>
            <w:r w:rsidRPr="008A1635">
              <w:rPr>
                <w:rFonts w:eastAsia="Times New Roman"/>
                <w:bCs/>
                <w:color w:val="000000"/>
                <w:sz w:val="18"/>
                <w:szCs w:val="18"/>
              </w:rPr>
              <w:br/>
              <w:t>The selected Offeror will be responsible to manage the tuning and operation of SourceFire IDS.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15</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3.2.1.1.1 Financial Management</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27-29</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i.      To what extent does CoPA require a working solution for chargeback to allow States to comply with federal regulatory requirements for equality of charging for state and federal programs and justify their methodology:  by not using this, are we not introducing undo risk of penalties into our bid? For example, are any of the below requirements of CoPA for Chargeback?  Optimize resources by reviewing standard “Top 10” consumption reports  Understand the cost details that went into the bill  Understand what organization is using the most resources  View invoice data online and drill down for detail information  Allows client to manage chargeback system  Apply price uplift to agency charges  Apply additional agency or State/Company specific charges to bill  Include charges for non-Offeror services for a single view of charges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The Commonwealth is not asking for a full charge back system.  The agency invoices should provide billing detail so the agency has full transparency into the services they consumed.  Billing details shall include all services procured by agency general ledger (GL) code.  A service may be allocated across multiple GL codes.  And this will suffice for equality of charging for state and federal programs. </w:t>
            </w:r>
            <w:r w:rsidRPr="008A1635">
              <w:rPr>
                <w:rFonts w:eastAsia="Times New Roman"/>
                <w:bCs/>
                <w:color w:val="000000"/>
                <w:sz w:val="18"/>
                <w:szCs w:val="18"/>
              </w:rPr>
              <w:br/>
            </w:r>
            <w:r w:rsidRPr="008A1635">
              <w:rPr>
                <w:rFonts w:eastAsia="Times New Roman"/>
                <w:bCs/>
                <w:color w:val="000000"/>
                <w:sz w:val="18"/>
                <w:szCs w:val="18"/>
              </w:rPr>
              <w:br/>
              <w:t xml:space="preserve">Schedule F has been revised to reflect the requirements.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16</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3.3 Transition Services</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141-155</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Could the Commonwealth provide freeze periods for each agency when workloads cannot be migrated?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See Exhibit O - 2012 Agency NMRs for the No Maintenance periods that occurred during 2012.  The Commonwealth cannot guarantee that the periods listed in Exhibit O will be identical during transition.</w:t>
            </w:r>
            <w:r w:rsidRPr="008A1635">
              <w:rPr>
                <w:rFonts w:eastAsia="Times New Roman"/>
                <w:bCs/>
                <w:color w:val="000000"/>
                <w:sz w:val="18"/>
                <w:szCs w:val="18"/>
              </w:rPr>
              <w:br/>
            </w:r>
            <w:r w:rsidRPr="008A1635">
              <w:rPr>
                <w:rFonts w:eastAsia="Times New Roman"/>
                <w:bCs/>
                <w:color w:val="000000"/>
                <w:sz w:val="18"/>
                <w:szCs w:val="18"/>
              </w:rPr>
              <w:br/>
              <w:t>This is a confidential document.  To receive a copy, please contact Sheryl Kimport, the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17</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n</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Penndot</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there a non-application management network for things like backup, monitoring, patching, SA access?  If so, is this also a standard across the data center?</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No, there is no non-application management network for things like backup, monitoring, patching, SA access, etc.</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18</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EDC tour</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Tour handout</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disposition of all material in the warehouse at initiation of this contract?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Commonwealth will relocate the material within the warehouse if requested by the selected Offeror.</w:t>
            </w:r>
          </w:p>
        </w:tc>
      </w:tr>
      <w:tr w:rsidR="00961AA2" w:rsidRPr="002A40CD"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19</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  Statement of Work</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23</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is the current geospatial enterprise environment going to be managed? Is a GIS managed services approach being considered?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is an updated response to Question #8 from Round 1 Part 5.</w:t>
            </w:r>
          </w:p>
          <w:p w:rsidR="00961AA2" w:rsidRPr="008A1635" w:rsidRDefault="00961AA2" w:rsidP="00B3699F">
            <w:pPr>
              <w:rPr>
                <w:rFonts w:eastAsia="Times New Roman"/>
                <w:bCs/>
                <w:color w:val="000000"/>
                <w:sz w:val="18"/>
                <w:szCs w:val="18"/>
              </w:rPr>
            </w:pP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 GIS projects will be managed in the same manner as other Commonwealth projects.  The Offeror will be required to provide web servers and database infrastructure for GIS services procured through this contract.</w:t>
            </w:r>
            <w:r w:rsidRPr="008A1635">
              <w:rPr>
                <w:rFonts w:eastAsia="Times New Roman"/>
                <w:bCs/>
                <w:color w:val="000000"/>
                <w:sz w:val="18"/>
                <w:szCs w:val="18"/>
              </w:rPr>
              <w:br/>
            </w:r>
            <w:r w:rsidRPr="008A1635">
              <w:rPr>
                <w:rFonts w:eastAsia="Times New Roman"/>
                <w:bCs/>
                <w:color w:val="000000"/>
                <w:sz w:val="18"/>
                <w:szCs w:val="18"/>
              </w:rPr>
              <w:br/>
              <w:t>b) The scope of this procurement does not include outsourcing of GIS-specific services.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20</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Request for Proposal</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We understand that the Commonwealth expects the Offeror to implement a Database Firewall to help monitor privileged user and application user access.      Has the Commonwealth determined the privileged user and application user groups that need to be monitored?     Please provide the number of user groups that have to be monitored using DBFW to help the Offeror estimate the effort to implement?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No, the Commonwealth has not made this determination.  This will be determined during transition planning.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21</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 (e)</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does the Commonwealth intend to disclose specific classification of its data to vendors to enable vendor to provide a solution which protects data based on its classification?</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Data classifications are determined at agency and application level and will be determined during the transition phase of the contract.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22</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Exhibit D.7</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13(b)</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16-18</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detailed descriptions of the EDC's mechanical/HVAC/CRAC/CRAH systems. What is the facility PUE?</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Details about the EDC facility have been provided in Exhibits D.8 through D.12.   This is a confidential document.  To receive a copy, please contact Sheryl Kimport, the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23</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44 (a)</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68</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Knowing that the PATCH background check specified in ITB-SEC009 will not report out of state infractions, will the PATCH system be the only requirement necessary for the required background checks?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No. Additional background checks must be performed to meet all requirements of the RFP, including CJIS and CHRIA requirements.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24</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5</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It states “Offeror must create and maintain test environments”; Is it mandatory for each application to have a Development, Integration, SAT/UAT, Training, Load Testing, Pre-Production and Production environments (i.e. as stated section 2.1, pg. 5) or will applications have a variable subset of these environments?    What part of the volumetrics include these test environments?    Which Service Tiers include these test environments?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Each application owner determines the types and counts of environments.  The Offeror must be prepared to support all requested environments as ordered.</w:t>
            </w:r>
            <w:r w:rsidRPr="008A1635">
              <w:rPr>
                <w:rFonts w:eastAsia="Times New Roman"/>
                <w:bCs/>
                <w:color w:val="000000"/>
                <w:sz w:val="18"/>
                <w:szCs w:val="18"/>
              </w:rPr>
              <w:br/>
            </w:r>
            <w:r w:rsidRPr="008A1635">
              <w:rPr>
                <w:rFonts w:eastAsia="Times New Roman"/>
                <w:bCs/>
                <w:color w:val="000000"/>
                <w:sz w:val="18"/>
                <w:szCs w:val="18"/>
              </w:rPr>
              <w:br/>
              <w:t>The Commonwealth has established multiple scenarios of infrastructure configurations specifically for pricing evaluation, as set forth in Schedule I.    The Volumetrics in Schedule I will be used to evaluate Offerors’ cost proposals and are not a minimum commitment or an all-inclusive representation of every service desired by the Commonwealth.</w:t>
            </w:r>
            <w:r w:rsidRPr="008A1635">
              <w:rPr>
                <w:rFonts w:eastAsia="Times New Roman"/>
                <w:bCs/>
                <w:color w:val="000000"/>
                <w:sz w:val="18"/>
                <w:szCs w:val="18"/>
              </w:rPr>
              <w:br/>
            </w:r>
            <w:r w:rsidRPr="008A1635">
              <w:rPr>
                <w:rFonts w:eastAsia="Times New Roman"/>
                <w:bCs/>
                <w:color w:val="000000"/>
                <w:sz w:val="18"/>
                <w:szCs w:val="18"/>
              </w:rPr>
              <w:br/>
              <w:t>The test environment may reside in any “tier” based on the need of the application owner.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25</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is the Commonwealth expectation regarding the transformation of dedicated infrastructure to Capacity on Demand (CoD)? (rationalize)</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procurement is to provide the capability of CoD to the application owners.  The application owners will determine the possibility and timeline for transformation to CoD.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26</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define “critical Commonwealth processing”.  This applies to the requirement for “each datacenter must be capable of supporting critical Commonwealth processing in the event the other datacenter goes offline”.  In addition, does this requirement apply to all “critical Commonwealth processing” including those that run on IBM and Unisys Mainframes that will now require multiple platforms for those environments?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Critical Commonwealth processing is any application determined by the Commonwealth, in its sole discretion, to be critical.  For those applications with a DR subscription, the DR location must be within a geographically disperse datacenter as required by the RFP.</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 Yes.  The platform is independent of the requirement.  If DR is subscribed to for the application, then the required infrastructure must be provided by the Offeror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27</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3.1.2, Requirement 4</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17</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constitutes a "Commonwealth authorized user?"  Does this include "exterior" applications that traverse the internet to gain access to Commonwealth servers and applications?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 "Commonwealth authorized user" is any user connecting to a Commonwealth resource.  This does include "exterior" applications that traverse the internet to gain access to Commonwealth servers and applications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28</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3.1.3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20</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are the specific requirements for monthly reporting of "efficiency"?</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requirement now reads "Offeror must describe its overall strategy to provide real-time scheduled system performance, operations, monitoring and capacity reporting for the entire datacenter architecture."</w:t>
            </w:r>
            <w:r w:rsidRPr="008A1635">
              <w:rPr>
                <w:rFonts w:eastAsia="Times New Roman"/>
                <w:bCs/>
                <w:color w:val="000000"/>
                <w:sz w:val="18"/>
                <w:szCs w:val="18"/>
              </w:rPr>
              <w:br/>
            </w:r>
            <w:r w:rsidRPr="008A1635">
              <w:rPr>
                <w:rFonts w:eastAsia="Times New Roman"/>
                <w:bCs/>
                <w:color w:val="000000"/>
                <w:sz w:val="18"/>
                <w:szCs w:val="18"/>
              </w:rPr>
              <w:br/>
              <w:t>Section 3.1.3 requirement #4 has been revised to reflect this change.</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29</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3.2.1.1.1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27</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Please provide a summary of the BMC billing module (e.g., what software product) and billing format.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Invoices will be processed through the Commonwealth’s Remedy ITSM system’s Billing Module.  The current version of the Commonwealth's Enterprise Remedy is 7.6.04.  The selected Offeror must remain compatible with the appropriate version of the Commonwealth's ITSM system for the duration of the contract.  The billing interface currently is via an XML file transfer and processing.</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30</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3.2.1.3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41</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are individual Agency business related change restrictions or freezes based upon the example in requirement 1?</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See Exhibit O - 2012 Agency NMRs for the No Maintenance periods that occurred during 2012.  The Commonwealth cannot guarantee that the periods listed in Exhibit O will be identical during transition.</w:t>
            </w:r>
            <w:r w:rsidRPr="008A1635">
              <w:rPr>
                <w:rFonts w:eastAsia="Times New Roman"/>
                <w:bCs/>
                <w:color w:val="000000"/>
                <w:sz w:val="18"/>
                <w:szCs w:val="18"/>
              </w:rPr>
              <w:br/>
            </w:r>
            <w:r w:rsidRPr="008A1635">
              <w:rPr>
                <w:rFonts w:eastAsia="Times New Roman"/>
                <w:bCs/>
                <w:color w:val="000000"/>
                <w:sz w:val="18"/>
                <w:szCs w:val="18"/>
              </w:rPr>
              <w:br/>
              <w:t>This is a confidential document.  To receive a copy, please contact Sheryl Kimport, the Issuing Officer.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31</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3.2.2.2 para. #3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64</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To what degree may an agency delay or refuse reasonable plans and efforts to migrate their applications?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is an internal Commonwealth management issue and will be resolved internally.</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32</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3.2.2.2-3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66</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As it relates to CJIS and CHRIA requirements?  Please provide all the required security and encryption requirements expected.       Is the Commonwealth meeting all expected security requirements today?      Are there application limitations that make meeting such CJIS requirements difficult or impossible?</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 The Commonwealth provided these details in Exhibit J.1 (Security Compliance Guidelines), Exhibit G.12 (PSP - CHRIA Handbook), Exhibit G.6 (PSP - CJIS Security Policy v5-1_07132012), and Exhibit G.7 (PSP - Summary of CJIS Requirements). This is a confidential document.  To receive a copy, please contact Sheryl Kimport, the Issuing Officer.</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2. Yes.  The Commonwealth is meeting these requirements today.</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3. No.  The Commonwealth is meeting these requirements today.</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33</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Appendix A  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9(a),  12(d)(3), 38(c), 78(b)(1)  3.2.2.2 #3  3.2.2.5 para. 2</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10, 16, 58, 93  76  66</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Does the Commonwealth expect that services will be provided while meeting all potential/possible applicable regulations simultaneously?     When regulations are in conflict (e.g. CJIS separation requirements) how is the applicable regulation to be determined?     Which regulations apply to which part of the volumetrics provided in the Pricing Schedule?     Please provide counts and the applicable segregation and separation requirements for the volumetrics.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 Yes.</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2. The agency responsible for interpreting the regulation determines how conflicts are resolved.  In general, the more stringent requirement would apply.</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 xml:space="preserve">3. The volumetric are not compiled by regulation.  </w:t>
            </w:r>
          </w:p>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br/>
              <w:t>4. The Commonwealth has established multiple scenarios of infrastructure configurations specifically for pricing evaluation, as set forth in Schedule I.    The Volumetrics in Schedule I will be used to evaluate Offerors’ cost proposals and are not a minimum commitment or an all-inclusive representation of every service desired by the Commonwealth.</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34</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3.2.2.5 #3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77</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deeply and widely does the Commonwealth want quarterly penetration testing? Subset, all, targeted?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Penetration testing must be as deep as is required to ensure an acceptable security posture. Levels of penetration testing must be discussed/approved by application owners.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35</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93</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Should a Production Control Management requirement, such as 3.2.4.4 requirement 3 be included in Windows Support?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Yes. Requirement #3 in section 3.2.4.4 states the requirement applies across platforms (eg, Windows, Unix, and Mainframe).</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36</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94</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 management or support of DNS or WINS within scope of Offeror's responsibility?</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Yes, the management and support of DNS and WINS will be the responsibility of the selected Offeror.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37</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94</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 management or support of Public Key Infrastructure (PKI) within scope of Offeror's responsibility?</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Yes, the management and support of Public Key Infrastructure (PKI) will be the responsibility of the selected Offeror.</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38</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3.2.4.1</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94</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 Offeror expected to procure, install or support SSL certificates from VeriSign or Entrust?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Offeror must provide SSL certificates, including installation and support, as part of its Service offering through the Service Catalog.</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39</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3.2.4.4</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110</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Is the expectation to have the Contractor provide full management of the Batch service based upon Agency requirements or enable the Agency to use the batch software directly to schedule the batch activities?</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will be determined at an application level and both may be required based on the agency needs.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40</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3.2.4.5</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117</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Provide all tools and apps currently being provided; the examples provided are not found in the exhibits identified.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following are application monitoring tools known to currently be in use by the Commonwealth : MS SCOM, MS SCCM, Paessler (External URL Testing), CiscoWorks, NIMS, syslog, Vmware vCenter, Idera SQL DM, Oracle OEM, Big Brother, EMC Data Protection Advisor, JC Metasys, IBM TPC, Tivoli ITCAM, SightLine, Wiley, SAP Solutions Manager, IBM Director, Nagius.   For purposes of submitting a proposal Offerors should assume none of the Commonwealth monitoring tools may be leveraged.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41</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3.2.4.5</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120</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Requirement number 6 states “as required”.  Please define as required and who will be financially responsible for providing this technical advice and support.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selected Offeror will be responsible for providing this technical advice and support at its cost.  Detailed engineering specification and assistance is considered a consulting type engagement and therefore would be chargeable to the Commonwealth from the Rate Card.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42</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3.2.4.7</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129</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 Refer: "Provide a multi-tiered level of service (e.g.  Platinum, Gold, Silver, Bronze, and Basic) for Oracle, Sybase, Microsoft SQL, IMS or DB2 database platforms."    Sybase and IMS are not “current” database standard per ITB STD-INF001A. Confirm that Sybase and IMS support is required.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Sybase and IMS support is required.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43</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F</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3.2.4.8</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131</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Refer: “Currently there are to 3 areas within the Commonwealth EDC that are supporting co-location Services.  EDC facility summary is provided as Exhibit D.7.  While many of these systems will be migrated to a fully managed service over time, the Offeror shall plan for co-location space in its Datacenter Architecture.”    Provide more details regarding the 3 areas supporting co-location services – specifically, floor space, weight, power and cooling requirements required.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Maximum space needed to accommodate EDC Co-Location space is 3,800 sq. ft.  Cooling and power requirements for approximately 500 servers and storage arrays is currently in place.  Additional information on the EDC environment will be determined during transition.</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44</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L -   Schedule F -</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3.3.2.2</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152</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Has the Commonwealth categorized the risk levels for the applications described in Exhibit L? This will help estimate the effort required for performing the Baseline Security Risk and Vulnerability Assessment.</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No, the Commonwealth has no comprehensive list of application security risk or vulnerability assessment.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45</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SL20</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30</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The description speaks to Formal Root Cause Analysis while the calculation does not. In addition, the calculation may incorrectly include a Formal Root Cause Analysis in the total when that analysis may be due in a subsequent period. Should the formula read “= ((Number of Formal Root Cause Analysis’s Delivered within Established Interval) / (Total Number of Formal Root Cause Analysis’ Due)) expressed as a percentage”?</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xml:space="preserve">Schedule J.3 SL20 has been revised.  The formula reads “= ((Number of Formal Root Cause Analyses Delivered within Established Interval) / (Total Number of Formal Root Cause Analyses Due)) expressed as a percentage”. </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46</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SL23</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35</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If a change is backed out due to a resulting Severity 1 or Severity 2 problem, is the change ignored for purpose of the SLA calculation?</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No.  Backed-out Changes due to a failure relating to the change is not considered a successful change and will not be ignored for SLA purposes.</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47</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Schedule J.3</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SL28, SL29</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42, 43</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How are batch jobs that are run “as needed” to be counted for purposes of these measurements? Are they to be included in the calculation’s denominator as “scheduled”?</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All batch jobs that are run "as needed" will be run at a "scheduled" time.  These jobs must be included in the calculation, including the denominator as "scheduled."</w:t>
            </w:r>
          </w:p>
        </w:tc>
      </w:tr>
      <w:tr w:rsidR="00961AA2" w:rsidRPr="00EF75DC" w:rsidTr="00B3699F">
        <w:trPr>
          <w:cantSplit/>
          <w:trHeight w:val="300"/>
        </w:trPr>
        <w:tc>
          <w:tcPr>
            <w:tcW w:w="908" w:type="dxa"/>
            <w:tcBorders>
              <w:top w:val="single" w:sz="4" w:space="0" w:color="auto"/>
              <w:left w:val="single" w:sz="4" w:space="0" w:color="auto"/>
              <w:bottom w:val="single" w:sz="4" w:space="0" w:color="auto"/>
              <w:right w:val="single" w:sz="4" w:space="0" w:color="auto"/>
            </w:tcBorders>
            <w:shd w:val="clear" w:color="000000" w:fill="FFFFFF"/>
            <w:hideMark/>
          </w:tcPr>
          <w:p w:rsidR="00961AA2" w:rsidRPr="008A1635" w:rsidRDefault="00961AA2" w:rsidP="00B3699F">
            <w:pPr>
              <w:rPr>
                <w:color w:val="000000"/>
                <w:sz w:val="18"/>
                <w:szCs w:val="18"/>
              </w:rPr>
            </w:pPr>
            <w:r w:rsidRPr="008A1635">
              <w:rPr>
                <w:color w:val="000000"/>
                <w:sz w:val="18"/>
                <w:szCs w:val="18"/>
              </w:rPr>
              <w:t>48</w:t>
            </w:r>
          </w:p>
        </w:tc>
        <w:tc>
          <w:tcPr>
            <w:tcW w:w="1216"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Exhibit K</w:t>
            </w:r>
          </w:p>
        </w:tc>
        <w:tc>
          <w:tcPr>
            <w:tcW w:w="951"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 </w:t>
            </w:r>
          </w:p>
        </w:tc>
        <w:tc>
          <w:tcPr>
            <w:tcW w:w="72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11, 12</w:t>
            </w:r>
          </w:p>
        </w:tc>
        <w:tc>
          <w:tcPr>
            <w:tcW w:w="585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What are the historical and expected incident handle times at the Service Desk?</w:t>
            </w:r>
          </w:p>
        </w:tc>
        <w:tc>
          <w:tcPr>
            <w:tcW w:w="8010" w:type="dxa"/>
            <w:tcBorders>
              <w:top w:val="single" w:sz="4" w:space="0" w:color="auto"/>
              <w:left w:val="nil"/>
              <w:bottom w:val="single" w:sz="4" w:space="0" w:color="auto"/>
              <w:right w:val="single" w:sz="4" w:space="0" w:color="auto"/>
            </w:tcBorders>
            <w:shd w:val="clear" w:color="000000" w:fill="FFFFFF"/>
            <w:hideMark/>
          </w:tcPr>
          <w:p w:rsidR="00961AA2" w:rsidRPr="008A1635" w:rsidRDefault="00961AA2" w:rsidP="00B3699F">
            <w:pPr>
              <w:rPr>
                <w:rFonts w:eastAsia="Times New Roman"/>
                <w:bCs/>
                <w:color w:val="000000"/>
                <w:sz w:val="18"/>
                <w:szCs w:val="18"/>
              </w:rPr>
            </w:pPr>
            <w:r w:rsidRPr="008A1635">
              <w:rPr>
                <w:rFonts w:eastAsia="Times New Roman"/>
                <w:bCs/>
                <w:color w:val="000000"/>
                <w:sz w:val="18"/>
                <w:szCs w:val="18"/>
              </w:rPr>
              <w:t>This procurement includes consolidating several datacenters and each datacenter has a separate support organization.  Therefore there is no consolidated historical data available.</w:t>
            </w:r>
            <w:r w:rsidRPr="008A1635">
              <w:rPr>
                <w:rFonts w:eastAsia="Times New Roman"/>
                <w:bCs/>
                <w:color w:val="000000"/>
                <w:sz w:val="18"/>
                <w:szCs w:val="18"/>
              </w:rPr>
              <w:br/>
            </w:r>
            <w:r w:rsidRPr="008A1635">
              <w:rPr>
                <w:rFonts w:eastAsia="Times New Roman"/>
                <w:bCs/>
                <w:color w:val="000000"/>
                <w:sz w:val="18"/>
                <w:szCs w:val="18"/>
              </w:rPr>
              <w:br/>
              <w:t>The Commonwealth is purchasing managed services as part of this procurement and incident handle times impact the availability of a service.  The SLA's determine the availability requirement of the service.  Therefore, differing levels of SLA availability (Platinum, Gold, Silver, Bronze and Basic) should include differing incident handle times.  Each Offeror must establish “incident handle-times” to meet the SLAs for the service provided to the Commonwealth.</w:t>
            </w:r>
          </w:p>
        </w:tc>
      </w:tr>
    </w:tbl>
    <w:p w:rsidR="00961AA2" w:rsidRDefault="00961AA2">
      <w:pPr>
        <w:rPr>
          <w:b/>
          <w:i/>
        </w:rPr>
      </w:pPr>
    </w:p>
    <w:p w:rsidR="00961AA2" w:rsidRDefault="00961AA2">
      <w:pPr>
        <w:rPr>
          <w:b/>
          <w:i/>
        </w:rPr>
      </w:pPr>
    </w:p>
    <w:p w:rsidR="00961AA2" w:rsidRDefault="00961AA2">
      <w:pPr>
        <w:rPr>
          <w:b/>
          <w:i/>
        </w:rPr>
      </w:pPr>
    </w:p>
    <w:p w:rsidR="00961AA2" w:rsidRDefault="00961AA2">
      <w:pPr>
        <w:rPr>
          <w:b/>
          <w:i/>
        </w:rPr>
      </w:pPr>
    </w:p>
    <w:p w:rsidR="00961AA2" w:rsidRDefault="00961AA2">
      <w:pPr>
        <w:rPr>
          <w:b/>
          <w:i/>
        </w:rPr>
      </w:pPr>
    </w:p>
    <w:tbl>
      <w:tblPr>
        <w:tblW w:w="17655" w:type="dxa"/>
        <w:tblInd w:w="93" w:type="dxa"/>
        <w:tblLook w:val="04A0"/>
      </w:tblPr>
      <w:tblGrid>
        <w:gridCol w:w="915"/>
        <w:gridCol w:w="1170"/>
        <w:gridCol w:w="1106"/>
        <w:gridCol w:w="621"/>
        <w:gridCol w:w="5868"/>
        <w:gridCol w:w="7975"/>
      </w:tblGrid>
      <w:tr w:rsidR="00961AA2" w:rsidRPr="00AF0D8E" w:rsidTr="00B3699F">
        <w:trPr>
          <w:cantSplit/>
          <w:trHeight w:val="300"/>
          <w:tblHeader/>
        </w:trPr>
        <w:tc>
          <w:tcPr>
            <w:tcW w:w="17655" w:type="dxa"/>
            <w:gridSpan w:val="6"/>
            <w:tcBorders>
              <w:top w:val="single" w:sz="4" w:space="0" w:color="auto"/>
              <w:left w:val="single" w:sz="4" w:space="0" w:color="auto"/>
              <w:bottom w:val="single" w:sz="4" w:space="0" w:color="auto"/>
              <w:right w:val="single" w:sz="4" w:space="0" w:color="auto"/>
            </w:tcBorders>
            <w:shd w:val="clear" w:color="000000" w:fill="C5D9F1"/>
          </w:tcPr>
          <w:p w:rsidR="00961AA2" w:rsidRPr="008A1635" w:rsidRDefault="00961AA2" w:rsidP="00B3699F">
            <w:pPr>
              <w:rPr>
                <w:rFonts w:eastAsia="Times New Roman"/>
                <w:b/>
                <w:bCs/>
                <w:sz w:val="18"/>
                <w:szCs w:val="18"/>
              </w:rPr>
            </w:pPr>
            <w:r w:rsidRPr="008A1635">
              <w:rPr>
                <w:b/>
                <w:i/>
                <w:sz w:val="18"/>
                <w:szCs w:val="18"/>
              </w:rPr>
              <w:t>Addendum 11 – Round 2, Part 1</w:t>
            </w:r>
          </w:p>
        </w:tc>
      </w:tr>
      <w:tr w:rsidR="00961AA2" w:rsidRPr="0082136C" w:rsidTr="00B3699F">
        <w:trPr>
          <w:cantSplit/>
          <w:trHeight w:val="300"/>
          <w:tblHeader/>
        </w:trPr>
        <w:tc>
          <w:tcPr>
            <w:tcW w:w="915" w:type="dxa"/>
            <w:tcBorders>
              <w:top w:val="single" w:sz="4" w:space="0" w:color="auto"/>
              <w:left w:val="single" w:sz="4" w:space="0" w:color="auto"/>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 </w:t>
            </w:r>
          </w:p>
        </w:tc>
        <w:tc>
          <w:tcPr>
            <w:tcW w:w="1170" w:type="dxa"/>
            <w:tcBorders>
              <w:top w:val="single" w:sz="4" w:space="0" w:color="auto"/>
              <w:left w:val="nil"/>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Doc</w:t>
            </w:r>
          </w:p>
        </w:tc>
        <w:tc>
          <w:tcPr>
            <w:tcW w:w="1106" w:type="dxa"/>
            <w:tcBorders>
              <w:top w:val="single" w:sz="4" w:space="0" w:color="auto"/>
              <w:left w:val="nil"/>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Sec</w:t>
            </w:r>
          </w:p>
        </w:tc>
        <w:tc>
          <w:tcPr>
            <w:tcW w:w="621" w:type="dxa"/>
            <w:tcBorders>
              <w:top w:val="single" w:sz="4" w:space="0" w:color="auto"/>
              <w:left w:val="nil"/>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Pg</w:t>
            </w:r>
          </w:p>
        </w:tc>
        <w:tc>
          <w:tcPr>
            <w:tcW w:w="5868" w:type="dxa"/>
            <w:tcBorders>
              <w:top w:val="single" w:sz="4" w:space="0" w:color="auto"/>
              <w:left w:val="nil"/>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Question</w:t>
            </w:r>
          </w:p>
        </w:tc>
        <w:tc>
          <w:tcPr>
            <w:tcW w:w="7975" w:type="dxa"/>
            <w:tcBorders>
              <w:top w:val="single" w:sz="4" w:space="0" w:color="auto"/>
              <w:left w:val="nil"/>
              <w:bottom w:val="single" w:sz="4" w:space="0" w:color="auto"/>
              <w:right w:val="single" w:sz="4" w:space="0" w:color="auto"/>
            </w:tcBorders>
            <w:shd w:val="clear" w:color="000000" w:fill="C5D9F1"/>
            <w:hideMark/>
          </w:tcPr>
          <w:p w:rsidR="00961AA2" w:rsidRPr="008A1635" w:rsidRDefault="00961AA2" w:rsidP="00B3699F">
            <w:pPr>
              <w:rPr>
                <w:rFonts w:eastAsia="Times New Roman"/>
                <w:b/>
                <w:bCs/>
                <w:sz w:val="18"/>
                <w:szCs w:val="18"/>
              </w:rPr>
            </w:pPr>
            <w:r w:rsidRPr="008A1635">
              <w:rPr>
                <w:rFonts w:eastAsia="Times New Roman"/>
                <w:b/>
                <w:bCs/>
                <w:sz w:val="18"/>
                <w:szCs w:val="18"/>
              </w:rPr>
              <w:t>Answer</w:t>
            </w:r>
          </w:p>
        </w:tc>
      </w:tr>
      <w:tr w:rsidR="00961AA2" w:rsidRPr="0082136C"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I --  Offeror Pricing Forms</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Volumetrics</w:t>
            </w:r>
          </w:p>
        </w:tc>
        <w:tc>
          <w:tcPr>
            <w:tcW w:w="62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Is it appropriate for vendors to assume that the tapes specified in Schedule I in the Volumetrics tab are equivalent in capacity to LTO4 tapes and that vendors can propose new technology but pricing equivalent to LTO4 tapes?</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For purposes of submitting a proposal, Offerors should assume the tapes are equivalent in capacity to LTO4 tapes.  The Commonwealth has established multiple scenarios of infrastructure configurations specifically for pricing evaluation, as set forth in Schedule I.  These scenarios are for evaluation purposes only.  Actual volumes will vary.  </w:t>
            </w:r>
          </w:p>
        </w:tc>
      </w:tr>
      <w:tr w:rsidR="00961AA2" w:rsidRPr="0082136C"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I – Offeror Pricing Forms</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Volumetrics</w:t>
            </w:r>
          </w:p>
        </w:tc>
        <w:tc>
          <w:tcPr>
            <w:tcW w:w="62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Given the storage tier definition in Schedule I that indicates 10K and 15K drives in both “Tier1 Raid5” and “Tier2 Raid10”, should vendors assume that the slower Tier1 RAID5 uses 10K drives and the Tier2 RAID10 uses 15K drives?</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For purposes of submitting a proposal, Offerors should assume that the slower Tier1 RAID5 uses 10K drives and the Tier2 RAID10 uses 15K drives.  The Commonwealth has established multiple scenarios of infrastructure configurations specifically for pricing evaluation, as set forth in Schedule I.  These scenarios are for evaluation purposes only.  Actual volumes will vary.  </w:t>
            </w:r>
          </w:p>
        </w:tc>
      </w:tr>
      <w:tr w:rsidR="00961AA2" w:rsidRPr="0082136C"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3</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Exhibit K</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Datacenter Related Volumetrics</w:t>
            </w:r>
          </w:p>
        </w:tc>
        <w:tc>
          <w:tcPr>
            <w:tcW w:w="62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11,12</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Of the monthly volumes listed on pages 11 &amp;12, what percentage of these volumes are Service Requests?  If zero, please provide the expected monthly Service Request Volumes that are in scope by type (i.e. ID Admin, PW Resets, etc).</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volumetric provided in Exhibit K do not differentiate between incidents and service requests.  The Commonwealth is unable to provide expected monthly service request volumes.</w:t>
            </w:r>
          </w:p>
        </w:tc>
      </w:tr>
      <w:tr w:rsidR="00961AA2" w:rsidRPr="0082136C" w:rsidTr="00B3699F">
        <w:trPr>
          <w:cantSplit/>
          <w:trHeight w:val="735"/>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4</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Exhibit K</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Datacenter Related Volumetrics</w:t>
            </w:r>
          </w:p>
        </w:tc>
        <w:tc>
          <w:tcPr>
            <w:tcW w:w="621" w:type="dxa"/>
            <w:tcBorders>
              <w:top w:val="nil"/>
              <w:left w:val="nil"/>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11</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Of the monthly volumes listed on page 11, what percentage should the Offeror expect to receive during Prime Hours?  Off-hours? Weekends?</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purposes of submitting a proposal Offerors should assume 95% are received during Prime Hours and 5% are received during off hours and/or weekends.</w:t>
            </w:r>
          </w:p>
        </w:tc>
      </w:tr>
      <w:tr w:rsidR="00961AA2" w:rsidRPr="0082136C"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5</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I</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TAB 1 Volumetrics</w:t>
            </w:r>
          </w:p>
        </w:tc>
        <w:tc>
          <w:tcPr>
            <w:tcW w:w="621" w:type="dxa"/>
            <w:tcBorders>
              <w:top w:val="nil"/>
              <w:left w:val="nil"/>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 </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proper financial analysis of this RFP will the Commonwealth be providing the appropriate configurations in Schedule I to support the specified SLA levels mandated (Platinum, Gold, Silver, Bronze, and Basic)?</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has established multiple scenarios of infrastructure configurations specifically for pricing evaluation, as set forth in Schedule I.  Actual volumes will vary.    </w:t>
            </w:r>
          </w:p>
        </w:tc>
      </w:tr>
      <w:tr w:rsidR="00961AA2" w:rsidRPr="0082136C" w:rsidTr="00B3699F">
        <w:trPr>
          <w:cantSplit/>
          <w:trHeight w:val="288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6</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J.3</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Section 2.Service Level Details</w:t>
            </w:r>
          </w:p>
        </w:tc>
        <w:tc>
          <w:tcPr>
            <w:tcW w:w="621" w:type="dxa"/>
            <w:tcBorders>
              <w:top w:val="nil"/>
              <w:left w:val="nil"/>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 </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spacing w:after="240"/>
              <w:rPr>
                <w:rFonts w:eastAsia="Times New Roman"/>
                <w:sz w:val="18"/>
                <w:szCs w:val="18"/>
              </w:rPr>
            </w:pPr>
            <w:r w:rsidRPr="008A1635">
              <w:rPr>
                <w:rFonts w:eastAsia="Times New Roman"/>
                <w:sz w:val="18"/>
                <w:szCs w:val="18"/>
              </w:rPr>
              <w:t xml:space="preserve">For “Managed Only” RUs where the Commonwealth has provided Commonwealth-owned infrastructure, please confirm that availability measurements will exclude issues related to Commonwealth provided assets. </w:t>
            </w:r>
            <w:r w:rsidRPr="008A1635">
              <w:rPr>
                <w:rFonts w:eastAsia="Times New Roman"/>
                <w:sz w:val="18"/>
                <w:szCs w:val="18"/>
              </w:rPr>
              <w:br/>
            </w:r>
            <w:r w:rsidRPr="008A1635">
              <w:rPr>
                <w:rFonts w:eastAsia="Times New Roman"/>
                <w:sz w:val="18"/>
                <w:szCs w:val="18"/>
              </w:rPr>
              <w:br/>
              <w:t>If Commonwealth owned asset issues are not excluded, please confirm that the Commonwealth will reconfigure hardware and/or purchase the necessary maintenance agreements to meet the various SLA tier requirements defined under “Managed Only” volumetric in TAB 4.</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Availability measurements will not exclude issues related to Commonwealth provided assets.  </w:t>
            </w:r>
            <w:r w:rsidRPr="008A1635">
              <w:rPr>
                <w:rFonts w:eastAsia="Times New Roman"/>
                <w:sz w:val="18"/>
                <w:szCs w:val="18"/>
              </w:rPr>
              <w:br/>
            </w:r>
            <w:r w:rsidRPr="008A1635">
              <w:rPr>
                <w:rFonts w:eastAsia="Times New Roman"/>
                <w:sz w:val="18"/>
                <w:szCs w:val="18"/>
              </w:rPr>
              <w:br/>
              <w:t>The selected Offeror must reconfigure hardware and/or purchase the necessary maintenance agreements to meet the various SLA tier requirements.</w:t>
            </w:r>
          </w:p>
        </w:tc>
      </w:tr>
      <w:tr w:rsidR="00961AA2" w:rsidRPr="0082136C"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7</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3.2.3.2</w:t>
            </w:r>
          </w:p>
        </w:tc>
        <w:tc>
          <w:tcPr>
            <w:tcW w:w="621" w:type="dxa"/>
            <w:tcBorders>
              <w:top w:val="nil"/>
              <w:left w:val="nil"/>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89</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requires the offeror to provide a structured disk-2-disk backup approach for systems that currently utilize this approach. Since there appear to be only options to provide pricing for tape, where in Schedule I should the offeror place pricing for their disk-2-disk backup approach? </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Pricing should be provided in Schedule I, Tab 10 (Catalog of Services).</w:t>
            </w:r>
          </w:p>
        </w:tc>
      </w:tr>
      <w:tr w:rsidR="00961AA2" w:rsidRPr="0082136C" w:rsidTr="00B3699F">
        <w:trPr>
          <w:cantSplit/>
          <w:trHeight w:val="168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8</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 – CoPA Datacenter Statement of Work</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3.3 Transition Services</w:t>
            </w:r>
          </w:p>
        </w:tc>
        <w:tc>
          <w:tcPr>
            <w:tcW w:w="62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141 - 155</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Is an extended, holiday weekend (3 days) considered an acceptable outage window?  If not, could the Commonwealth please define an acceptable outage window?</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An extended holiday weekend (3 days) is not necessarily an acceptable outage window.  Acceptable outage windows will depend on the agency involved and the resources being transitioned.  As indicated on Page 143 of Schedule F, "The Offeror must coordinate with each Commonwealth agency or datacenter representative to create a Facility Specific Transition Plan for each targeted facility". </w:t>
            </w:r>
          </w:p>
        </w:tc>
      </w:tr>
      <w:tr w:rsidR="00961AA2" w:rsidRPr="0082136C"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noWrap/>
            <w:hideMark/>
          </w:tcPr>
          <w:p w:rsidR="00961AA2" w:rsidRPr="008A1635" w:rsidRDefault="00961AA2" w:rsidP="00B3699F">
            <w:pPr>
              <w:rPr>
                <w:rFonts w:eastAsia="Times New Roman"/>
                <w:sz w:val="18"/>
                <w:szCs w:val="18"/>
              </w:rPr>
            </w:pPr>
            <w:r w:rsidRPr="008A1635">
              <w:rPr>
                <w:rFonts w:eastAsia="Times New Roman"/>
                <w:sz w:val="18"/>
                <w:szCs w:val="18"/>
              </w:rPr>
              <w:t>9</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Schedule F – CoPA Datacenter Statement of Work</w:t>
            </w:r>
          </w:p>
        </w:tc>
        <w:tc>
          <w:tcPr>
            <w:tcW w:w="110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3.3 Transition Services</w:t>
            </w:r>
          </w:p>
        </w:tc>
        <w:tc>
          <w:tcPr>
            <w:tcW w:w="621"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141 - 155</w:t>
            </w:r>
          </w:p>
        </w:tc>
        <w:tc>
          <w:tcPr>
            <w:tcW w:w="5868"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Does the Commonwealth have limitations or implementation guidelines regarding DB stacking, such as multiple databases/schemas running under a single OS image and a single DB software instance?</w:t>
            </w:r>
          </w:p>
        </w:tc>
        <w:tc>
          <w:tcPr>
            <w:tcW w:w="7975"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There are no specific guidelines, but there could be restrictions in this area based on agency requirements including state or federal policy requirements for data separation. These requirements would be documented as part of the discovery process and factored into agency transition planning.</w:t>
            </w:r>
          </w:p>
        </w:tc>
      </w:tr>
    </w:tbl>
    <w:p w:rsidR="00961AA2" w:rsidRDefault="00961AA2">
      <w:pPr>
        <w:rPr>
          <w:b/>
          <w:i/>
        </w:rPr>
      </w:pPr>
    </w:p>
    <w:p w:rsidR="00961AA2" w:rsidRDefault="00961AA2">
      <w:pPr>
        <w:rPr>
          <w:b/>
          <w:i/>
        </w:rPr>
      </w:pPr>
    </w:p>
    <w:tbl>
      <w:tblPr>
        <w:tblW w:w="17655" w:type="dxa"/>
        <w:tblInd w:w="93" w:type="dxa"/>
        <w:tblLook w:val="04A0"/>
      </w:tblPr>
      <w:tblGrid>
        <w:gridCol w:w="915"/>
        <w:gridCol w:w="1134"/>
        <w:gridCol w:w="1116"/>
        <w:gridCol w:w="630"/>
        <w:gridCol w:w="5850"/>
        <w:gridCol w:w="8010"/>
      </w:tblGrid>
      <w:tr w:rsidR="00961AA2" w:rsidRPr="00AF0D8E" w:rsidTr="00B3699F">
        <w:trPr>
          <w:trHeight w:val="300"/>
          <w:tblHeader/>
        </w:trPr>
        <w:tc>
          <w:tcPr>
            <w:tcW w:w="17655" w:type="dxa"/>
            <w:gridSpan w:val="6"/>
            <w:tcBorders>
              <w:top w:val="single" w:sz="4" w:space="0" w:color="auto"/>
              <w:left w:val="single" w:sz="4" w:space="0" w:color="auto"/>
              <w:bottom w:val="single" w:sz="4" w:space="0" w:color="auto"/>
              <w:right w:val="single" w:sz="4" w:space="0" w:color="auto"/>
            </w:tcBorders>
            <w:shd w:val="clear" w:color="000000" w:fill="C6D9F1" w:themeFill="text2" w:themeFillTint="33"/>
          </w:tcPr>
          <w:p w:rsidR="00961AA2" w:rsidRPr="008A1635" w:rsidRDefault="00961AA2" w:rsidP="00B3699F">
            <w:pPr>
              <w:rPr>
                <w:rFonts w:eastAsia="Times New Roman"/>
                <w:b/>
                <w:bCs/>
                <w:color w:val="000000"/>
                <w:sz w:val="18"/>
                <w:szCs w:val="18"/>
              </w:rPr>
            </w:pPr>
            <w:r w:rsidRPr="008A1635">
              <w:rPr>
                <w:b/>
                <w:i/>
                <w:sz w:val="18"/>
                <w:szCs w:val="18"/>
              </w:rPr>
              <w:t>Addendum 12 – Round 1, Part 7</w:t>
            </w:r>
          </w:p>
        </w:tc>
      </w:tr>
      <w:tr w:rsidR="00961AA2" w:rsidRPr="005826F0" w:rsidTr="00B3699F">
        <w:trPr>
          <w:trHeight w:val="300"/>
          <w:tblHeader/>
        </w:trPr>
        <w:tc>
          <w:tcPr>
            <w:tcW w:w="915" w:type="dxa"/>
            <w:tcBorders>
              <w:top w:val="single" w:sz="4" w:space="0" w:color="auto"/>
              <w:left w:val="single" w:sz="4" w:space="0" w:color="auto"/>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 </w:t>
            </w:r>
          </w:p>
        </w:tc>
        <w:tc>
          <w:tcPr>
            <w:tcW w:w="1134"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1116"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63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585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801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Answer</w:t>
            </w:r>
          </w:p>
        </w:tc>
      </w:tr>
      <w:tr w:rsidR="00961AA2" w:rsidRPr="005826F0" w:rsidTr="00B3699F">
        <w:trPr>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II-10</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22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proposed mechanism for resolving discrepancies that result from unanswered questions, incomplete answers to questions, or discrepancies discovered during due diligence?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governance process will be available to address these types of issues.</w:t>
            </w:r>
          </w:p>
        </w:tc>
      </w:tr>
      <w:tr w:rsidR="00961AA2" w:rsidRPr="005826F0" w:rsidTr="00B3699F">
        <w:trPr>
          <w:trHeight w:val="45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3.2.4.3 ERP Hosting-SAP/Oracle</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105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 If technical support of Oracle Applications software is in Offeror’s scope of work then:    What is the current version of Oracle Applications that has been implemented at PLCB? What Oracle modules have they implemented at PLCB?  Requirement 2 (on Page 106 of section 3.2.4.3) mentions “Monitor local system operations, troubleshoot and resolve operational issues” in Schedule F. Is this monitoring restricted to the servers on which we host Oracle Applications or does this also include monitoring the Oracle Applications as well e.g. monitor system alerts, workflow alerts etc.?  Requirement 7 (on Page 107 of section 3.2.4.3) mentions “Ensure server operating systems are maintained with current patch level”. Is the Offeror required to patch the Oracle Application software as well?  How big is the user base that needs to be supported for Oracle Applications?  Please confirm that the Offeror will not be responsible for the following functions as these are not mentioned in the RFP:  Maintaining application configurations for Oracle Modules that have been implemented  Understand and maintain any current customizations made to base Oracle Applications  Understand integration of Oracle Applications to any 3rd party systems and maintaining these 3rd party systems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a. The Commonwealth requires the selected Offeror to support PLCB's infrastructure for its Oracle ERP application.  PLCB does not require application level support for this environment, so the version of Oracle in place at PLCB and the Oracle Modules in place at PLCB are not relevant to this procurement.  </w:t>
            </w:r>
            <w:r w:rsidRPr="008A1635">
              <w:rPr>
                <w:rFonts w:eastAsia="Times New Roman"/>
                <w:color w:val="000000"/>
                <w:sz w:val="18"/>
                <w:szCs w:val="18"/>
              </w:rPr>
              <w:br/>
            </w:r>
            <w:r w:rsidRPr="008A1635">
              <w:rPr>
                <w:rFonts w:eastAsia="Times New Roman"/>
                <w:color w:val="000000"/>
                <w:sz w:val="18"/>
                <w:szCs w:val="18"/>
              </w:rPr>
              <w:br/>
              <w:t>b. Monitoring system operations in relation to this requirement is restricted to the servers on which Oracle Apps are hosted.</w:t>
            </w:r>
            <w:r w:rsidRPr="008A1635">
              <w:rPr>
                <w:rFonts w:eastAsia="Times New Roman"/>
                <w:color w:val="000000"/>
                <w:sz w:val="18"/>
                <w:szCs w:val="18"/>
              </w:rPr>
              <w:br/>
            </w:r>
            <w:r w:rsidRPr="008A1635">
              <w:rPr>
                <w:rFonts w:eastAsia="Times New Roman"/>
                <w:color w:val="000000"/>
                <w:sz w:val="18"/>
                <w:szCs w:val="18"/>
              </w:rPr>
              <w:br/>
              <w:t>c. The Offeror is not required to patch the Oracle Application software for the PLCB.</w:t>
            </w:r>
            <w:r w:rsidRPr="008A1635">
              <w:rPr>
                <w:rFonts w:eastAsia="Times New Roman"/>
                <w:color w:val="000000"/>
                <w:sz w:val="18"/>
                <w:szCs w:val="18"/>
              </w:rPr>
              <w:br/>
            </w:r>
            <w:r w:rsidRPr="008A1635">
              <w:rPr>
                <w:rFonts w:eastAsia="Times New Roman"/>
                <w:color w:val="000000"/>
                <w:sz w:val="18"/>
                <w:szCs w:val="18"/>
              </w:rPr>
              <w:br/>
              <w:t>d. The size of the PLCB's user base for the Oracle Application is 4,000 users.</w:t>
            </w:r>
            <w:r w:rsidRPr="008A1635">
              <w:rPr>
                <w:rFonts w:eastAsia="Times New Roman"/>
                <w:color w:val="000000"/>
                <w:sz w:val="18"/>
                <w:szCs w:val="18"/>
              </w:rPr>
              <w:br/>
            </w:r>
            <w:r w:rsidRPr="008A1635">
              <w:rPr>
                <w:rFonts w:eastAsia="Times New Roman"/>
                <w:color w:val="000000"/>
                <w:sz w:val="18"/>
                <w:szCs w:val="18"/>
              </w:rPr>
              <w:br/>
              <w:t>e. The Offeror is not required to maintain the Oracle Module configurations and is not required to understand and maintain the current customization made to the base Oracle Applications.</w:t>
            </w:r>
          </w:p>
        </w:tc>
      </w:tr>
      <w:tr w:rsidR="00961AA2" w:rsidRPr="005826F0" w:rsidTr="00B3699F">
        <w:trPr>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 Volumetrics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Lines 195 – 202: Please provide a list of device models or actual devices that would be included in this category, and confirm that the level of support required for these devices is as described in Schedule F, Section 3.2.4.8, Limited-Use Colocation Services.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The Commonwealth has established multiple scenarios of infrastructure configurations specifically for pricing evaluation, as set forth in Schedule I.  Actual volumes will vary.    </w:t>
            </w:r>
          </w:p>
        </w:tc>
      </w:tr>
      <w:tr w:rsidR="00961AA2" w:rsidRPr="005826F0" w:rsidTr="00B3699F">
        <w:trPr>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J.1,</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Maturity Level</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Page 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Provider is obliged to obtain a Statement on Auditing Standards No. 70 (SAS 70) II certification for the Services provided under this Agreement.”    When is the SAS 70 II certification due?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requirement should refer to SSAE 16, not SAS 70.  An initial SSAE 16 audit must be submitted before any services are transitioned to a datacenter and then must be submitted annually thereafter. The selected Offeror must provide copies of annual SSAE 16 audits for each datacenter used to service the Commonwealth at the Offeror’s expense.</w:t>
            </w:r>
          </w:p>
        </w:tc>
      </w:tr>
      <w:tr w:rsidR="00961AA2" w:rsidRPr="005826F0" w:rsidTr="00B3699F">
        <w:trPr>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 Volumetrics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Line 187-189 list GB volumes. Please provide volume allocation by Server Configuration and by Application.</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The Commonwealth has established multiple scenarios of infrastructure configurations specifically for pricing evaluation, as set forth in Schedule I.  Actual volumes will vary.    </w:t>
            </w:r>
          </w:p>
        </w:tc>
      </w:tr>
      <w:tr w:rsidR="00961AA2" w:rsidRPr="005826F0" w:rsidTr="00B3699F">
        <w:trPr>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 Volumetrics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Line 192 list GB Stored. Please provide the daily data percent change to be backed up.</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The Commonwealth has established multiple scenarios of infrastructure configurations specifically for pricing evaluation, as set forth in Schedule I.  Actual volumes will vary.    </w:t>
            </w:r>
          </w:p>
        </w:tc>
      </w:tr>
      <w:tr w:rsidR="00961AA2" w:rsidRPr="005826F0" w:rsidTr="00B3699F">
        <w:trPr>
          <w:trHeight w:val="33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 Datacenter Architecture and Technology</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18-21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a. Have policies been documented, and data rationalized to the extent that we can identify Tier 3 and Tier 4 use cases (high latency) which can be moved to cheaper storage media?  </w:t>
            </w:r>
            <w:r w:rsidRPr="008A1635">
              <w:rPr>
                <w:rFonts w:eastAsia="Times New Roman"/>
                <w:color w:val="000000"/>
                <w:sz w:val="18"/>
                <w:szCs w:val="18"/>
              </w:rPr>
              <w:br/>
              <w:t>Is there a desire to lower the BAU base case price by implementing a pay as you go “target” storage environment for Tier ¾ which would not require capacity on the floor in the two production data centers?</w:t>
            </w:r>
            <w:r w:rsidRPr="008A1635">
              <w:rPr>
                <w:rFonts w:eastAsia="Times New Roman"/>
                <w:color w:val="000000"/>
                <w:sz w:val="18"/>
                <w:szCs w:val="18"/>
              </w:rPr>
              <w:br/>
              <w:t xml:space="preserve">  Does CoPA have a requirement to access their archives (search select for data) and to what extent?  </w:t>
            </w:r>
            <w:r w:rsidRPr="008A1635">
              <w:rPr>
                <w:rFonts w:eastAsia="Times New Roman"/>
                <w:color w:val="000000"/>
                <w:sz w:val="18"/>
                <w:szCs w:val="18"/>
              </w:rPr>
              <w:br/>
              <w:t xml:space="preserve">Does the capacity on demand solution we have in mind have encryption both at rest and in transit?  </w:t>
            </w:r>
            <w:r w:rsidRPr="008A1635">
              <w:rPr>
                <w:rFonts w:eastAsia="Times New Roman"/>
                <w:color w:val="000000"/>
                <w:sz w:val="18"/>
                <w:szCs w:val="18"/>
              </w:rPr>
              <w:br/>
              <w:t>Can you please quantify the filenet workload which can be moved off archivable content to save money?</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 The Commonwealth does not have documented policies or data rationalized sufficiently to identify Tier 3 and Tier 4 use cases.</w:t>
            </w:r>
            <w:r w:rsidRPr="008A1635">
              <w:rPr>
                <w:rFonts w:eastAsia="Times New Roman"/>
                <w:color w:val="000000"/>
                <w:sz w:val="18"/>
                <w:szCs w:val="18"/>
              </w:rPr>
              <w:br/>
            </w:r>
            <w:r w:rsidRPr="008A1635">
              <w:rPr>
                <w:rFonts w:eastAsia="Times New Roman"/>
                <w:color w:val="000000"/>
                <w:sz w:val="18"/>
                <w:szCs w:val="18"/>
              </w:rPr>
              <w:br/>
              <w:t xml:space="preserve">b. No.  The Commonwealth is on a fixed budget and at this time the Commonwealth will subscribe to the amount of storage desired.  </w:t>
            </w:r>
            <w:r w:rsidRPr="008A1635">
              <w:rPr>
                <w:rFonts w:eastAsia="Times New Roman"/>
                <w:color w:val="000000"/>
                <w:sz w:val="18"/>
                <w:szCs w:val="18"/>
              </w:rPr>
              <w:br/>
            </w:r>
            <w:r w:rsidRPr="008A1635">
              <w:rPr>
                <w:rFonts w:eastAsia="Times New Roman"/>
                <w:color w:val="000000"/>
                <w:sz w:val="18"/>
                <w:szCs w:val="18"/>
              </w:rPr>
              <w:br/>
              <w:t xml:space="preserve">c. Yes.  This requirement is application dependent and is to be determining during transition.  </w:t>
            </w:r>
            <w:r w:rsidRPr="008A1635">
              <w:rPr>
                <w:rFonts w:eastAsia="Times New Roman"/>
                <w:color w:val="000000"/>
                <w:sz w:val="18"/>
                <w:szCs w:val="18"/>
              </w:rPr>
              <w:br/>
            </w:r>
            <w:r w:rsidRPr="008A1635">
              <w:rPr>
                <w:rFonts w:eastAsia="Times New Roman"/>
                <w:color w:val="000000"/>
                <w:sz w:val="18"/>
                <w:szCs w:val="18"/>
              </w:rPr>
              <w:br/>
              <w:t xml:space="preserve">d. Please clarify this question. </w:t>
            </w:r>
            <w:r w:rsidRPr="008A1635">
              <w:rPr>
                <w:rFonts w:eastAsia="Times New Roman"/>
                <w:color w:val="000000"/>
                <w:sz w:val="18"/>
                <w:szCs w:val="18"/>
              </w:rPr>
              <w:br/>
            </w:r>
            <w:r w:rsidRPr="008A1635">
              <w:rPr>
                <w:rFonts w:eastAsia="Times New Roman"/>
                <w:color w:val="000000"/>
                <w:sz w:val="18"/>
                <w:szCs w:val="18"/>
              </w:rPr>
              <w:br/>
              <w:t>e. No.  The Commonwealth has not quantified the filenet workload that could be moved off of archivable content.</w:t>
            </w:r>
          </w:p>
        </w:tc>
      </w:tr>
      <w:tr w:rsidR="00961AA2" w:rsidRPr="005826F0" w:rsidTr="00B3699F">
        <w:trPr>
          <w:trHeight w:val="19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 Transition Services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141-155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Could the Commonwealth provide the acceptable outage windows for each application?</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Commonwealth is unable to provide an acceptable outage window for each application.  ITB NET0015 references the methodology used to request periods of time where maintenance of Infrastructure is not to occur.    Acceptable outage windows are determined on a case by case basis based on the application.  Commonwealth does have several applications that are considered public safety and an acceptable outage window is less than 2 hours.  However, most of the applications have out window tolerances of six to eight hours.</w:t>
            </w:r>
          </w:p>
        </w:tc>
      </w:tr>
      <w:tr w:rsidR="00961AA2" w:rsidRPr="005826F0" w:rsidTr="00B3699F">
        <w:trPr>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Services Catalog</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C</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Services Catalog is blank. Can you please provide a catalog of        services that are relevant to this project, including GIS services?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This was intentionally left blank for the Offerors to provide the proposed catalog for Commonwealth review and evaluation.  Schedule I tab 10. Catalog of Services has been revised to include a sample Catalog of Services.   GIS projects will be managed in the same manner as other Commonwealth projects.  The scope of this procurement does not include outsourcing of GIS-specific services.</w:t>
            </w:r>
          </w:p>
        </w:tc>
      </w:tr>
      <w:tr w:rsidR="00961AA2" w:rsidRPr="005826F0" w:rsidTr="00B3699F">
        <w:trPr>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All</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a Service Provider’s attempt to provide a “like for like” infrastructure solution based on the exhibits is completely undersized from a capacity point of view, who will have the financial responsible to correct the deficiency, the Service Provider or the Commonwealth?</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Exhibits are a point in time snapshot and are subject to change.  The Commonwealth will order computing services from the Service Catalog on a subscription basis; therefore the service provided by the Contractor must meet the Commonwealth’s needs as ordered.</w:t>
            </w:r>
          </w:p>
        </w:tc>
      </w:tr>
      <w:tr w:rsidR="00961AA2" w:rsidRPr="005826F0" w:rsidTr="00B3699F">
        <w:trPr>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a comprehensive list of agency requirements for multiple security and network zones?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Commonwealth has seven (7) datacenters and each has several security zones.  This information will be documented as part of the Discovery process during transition.</w:t>
            </w:r>
          </w:p>
        </w:tc>
      </w:tr>
      <w:tr w:rsidR="00961AA2" w:rsidRPr="005826F0" w:rsidTr="00B3699F">
        <w:trPr>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will the Commonwealth govern requests for specific vendor technology by participating agencies especially if request are not consistent with a cost effective architecture?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Offeror is to provide a Catalog of services from which the Commonwealth will order from.  If an agency requests a service not in the Catalog, the Contract Change Process will govern requests for additional services.</w:t>
            </w:r>
          </w:p>
        </w:tc>
      </w:tr>
      <w:tr w:rsidR="00961AA2" w:rsidRPr="005826F0" w:rsidTr="00B3699F">
        <w:trPr>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vendor be able to consolidate workload from the EDC and agency server farm to another location?</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Yes, with the application owner’s approval.  The Offeror must utilize the EDC as one of its datacenters and propose a minimum of one additional datacenter to meet the 2+ architecture requirement. It is the Offeror’s option to utilize the EDC as one of its primary datacenters within its proposed solution.</w:t>
            </w:r>
          </w:p>
        </w:tc>
      </w:tr>
      <w:tr w:rsidR="00961AA2" w:rsidRPr="005826F0" w:rsidTr="00B3699F">
        <w:trPr>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3.1.1 para #1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define "integrated, qualified facilities".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referenced requirement states “All Datacenters will be managed and maintained by the Offeror, including the Commonwealth’s EDC and may be either a standalone facility, or integrated into existing qualified facilities.” A qualified facility is any facility which meets the requirements of this RFP and is listed in Schedule E - Datacenter Locations.</w:t>
            </w:r>
          </w:p>
        </w:tc>
      </w:tr>
      <w:tr w:rsidR="00961AA2" w:rsidRPr="005826F0" w:rsidTr="00B3699F">
        <w:trPr>
          <w:trHeight w:val="21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3.1.3</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Will the vendor have access to the Commonwealth's Remedy based CMDB? Does the Commonwealth's CMDB currently contain accurate inventory of all Commonwealth assets and relationships?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intent is to share data between the Commonwealth’s Enterprise Remedy’s CMDB and the winning Offeror’s CMDB for full visibility of the commonwealth’s infrastructure for Incident, Problem, Change and Billing management.    Currently, the CMDB contains only a partial inventory of the Commonwealth’s assets but there is an ongoing project to improve the accuracy and to include assets not yet in the CMDB.   It is not anticipated that the Commonwealth’s Enterprise Remedy CMDB projects will be completed before the transition for this procurement begins.</w:t>
            </w:r>
          </w:p>
        </w:tc>
      </w:tr>
      <w:tr w:rsidR="00961AA2" w:rsidRPr="005826F0" w:rsidTr="00B3699F">
        <w:trPr>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Does the Commonwealth have specific requirements for interim contract management procedures which are expected to be different from final contract management procedures?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Yes, Offerors must describe interim procedures to monitor and manage service delivery while the service are being transitioned from the Commonwealth to the selected Offeror (conforming to Commonwealth policies and procedures) including but not limited to the following: Problem Management, Change Management, Service Level monitoring and reporting, physical and logical security, project management, etc. </w:t>
            </w:r>
          </w:p>
        </w:tc>
      </w:tr>
      <w:tr w:rsidR="00961AA2" w:rsidRPr="005826F0" w:rsidTr="00B3699F">
        <w:trPr>
          <w:trHeight w:val="4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the network connectivity today that connects the various state agencies back to the Federal Gov't?</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It is a combination of direct links over telecommunications circuits provided by the Federal Government or over the internet.</w:t>
            </w:r>
          </w:p>
        </w:tc>
      </w:tr>
      <w:tr w:rsidR="00961AA2" w:rsidRPr="005826F0" w:rsidTr="00B3699F">
        <w:trPr>
          <w:trHeight w:val="16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3.2.4.3</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 Refer: "User Account Management: Provide certified system administration staff to create and maintain the registration of profiles, associated groups, and the security permissions required to service the approved client base of the system and application."    Confirm that Offeror is expected to support user account management within ERP application. Confirm that Offeror is expected to support user account management within applications running on Linux/AIX systems.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No, the Offeror is not expected to support user account management within ERP applications. </w:t>
            </w:r>
            <w:r w:rsidRPr="008A1635">
              <w:rPr>
                <w:rFonts w:eastAsia="Times New Roman"/>
                <w:color w:val="000000"/>
                <w:sz w:val="18"/>
                <w:szCs w:val="18"/>
              </w:rPr>
              <w:br/>
            </w:r>
            <w:r w:rsidRPr="008A1635">
              <w:rPr>
                <w:rFonts w:eastAsia="Times New Roman"/>
                <w:color w:val="000000"/>
                <w:sz w:val="18"/>
                <w:szCs w:val="18"/>
              </w:rPr>
              <w:br/>
              <w:t>No, the Offeror is not expected to support user account management within applications running on Linux/AIX systems</w:t>
            </w:r>
          </w:p>
        </w:tc>
      </w:tr>
      <w:tr w:rsidR="00961AA2" w:rsidRPr="005826F0" w:rsidTr="00B3699F">
        <w:trPr>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3.3.2.1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150</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it expected that the existing service management data (e.g., incidents, change requests) will be transitioned to the Offeror’s service management platform? What exact data should be transitioned to the Offeror’s service management platform?</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There is no expectation that this data will be transitioned to the selected Offeror’s platform at this time, but if later desired, the Commonwealth will provide that information as part of transition.</w:t>
            </w:r>
          </w:p>
        </w:tc>
      </w:tr>
      <w:tr w:rsidR="00961AA2" w:rsidRPr="005826F0" w:rsidTr="00B3699F">
        <w:trPr>
          <w:trHeight w:val="4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 &amp; 6</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is the Service Level Default identified?  Please provide an example.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 Service level default is defined as not meeting or exceeding the defined service level “Minimum” or “Target” as defined within Schedule J.3.</w:t>
            </w:r>
          </w:p>
        </w:tc>
      </w:tr>
      <w:tr w:rsidR="00961AA2" w:rsidRPr="005826F0" w:rsidTr="00B3699F">
        <w:trPr>
          <w:trHeight w:val="3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1134"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116"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SL01-SL05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considered "available"?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Available means the system is fully functioning and not degraded.</w:t>
            </w:r>
          </w:p>
        </w:tc>
      </w:tr>
    </w:tbl>
    <w:p w:rsidR="00961AA2" w:rsidRDefault="00961AA2">
      <w:pPr>
        <w:rPr>
          <w:b/>
          <w:i/>
        </w:rPr>
      </w:pPr>
    </w:p>
    <w:p w:rsidR="00961AA2" w:rsidRDefault="00961AA2">
      <w:pPr>
        <w:rPr>
          <w:b/>
          <w:i/>
        </w:rPr>
      </w:pPr>
    </w:p>
    <w:p w:rsidR="00961AA2" w:rsidRDefault="00961AA2">
      <w:pPr>
        <w:rPr>
          <w:b/>
          <w:i/>
        </w:rPr>
      </w:pPr>
    </w:p>
    <w:p w:rsidR="00961AA2" w:rsidRDefault="00961AA2">
      <w:pPr>
        <w:rPr>
          <w:b/>
          <w:i/>
        </w:rPr>
      </w:pPr>
    </w:p>
    <w:tbl>
      <w:tblPr>
        <w:tblW w:w="17655" w:type="dxa"/>
        <w:tblInd w:w="93" w:type="dxa"/>
        <w:tblLayout w:type="fixed"/>
        <w:tblLook w:val="04A0"/>
      </w:tblPr>
      <w:tblGrid>
        <w:gridCol w:w="915"/>
        <w:gridCol w:w="1170"/>
        <w:gridCol w:w="1080"/>
        <w:gridCol w:w="630"/>
        <w:gridCol w:w="5850"/>
        <w:gridCol w:w="8010"/>
      </w:tblGrid>
      <w:tr w:rsidR="00961AA2" w:rsidRPr="00AF0D8E" w:rsidTr="00B3699F">
        <w:trPr>
          <w:cantSplit/>
          <w:trHeight w:val="300"/>
          <w:tblHeader/>
        </w:trPr>
        <w:tc>
          <w:tcPr>
            <w:tcW w:w="17655" w:type="dxa"/>
            <w:gridSpan w:val="6"/>
            <w:tcBorders>
              <w:top w:val="single" w:sz="4" w:space="0" w:color="auto"/>
              <w:left w:val="single" w:sz="4" w:space="0" w:color="auto"/>
              <w:bottom w:val="single" w:sz="4" w:space="0" w:color="auto"/>
              <w:right w:val="single" w:sz="4" w:space="0" w:color="auto"/>
            </w:tcBorders>
            <w:shd w:val="clear" w:color="000000" w:fill="C6D9F1" w:themeFill="text2" w:themeFillTint="33"/>
          </w:tcPr>
          <w:p w:rsidR="00961AA2" w:rsidRPr="008A1635" w:rsidRDefault="00961AA2" w:rsidP="00B3699F">
            <w:pPr>
              <w:rPr>
                <w:rFonts w:eastAsia="Times New Roman"/>
                <w:b/>
                <w:bCs/>
                <w:color w:val="000000"/>
                <w:sz w:val="18"/>
                <w:szCs w:val="18"/>
              </w:rPr>
            </w:pPr>
            <w:r w:rsidRPr="008A1635">
              <w:rPr>
                <w:b/>
                <w:i/>
                <w:sz w:val="18"/>
                <w:szCs w:val="18"/>
              </w:rPr>
              <w:t>Addendum 13 – Additional Answers</w:t>
            </w:r>
          </w:p>
        </w:tc>
      </w:tr>
      <w:tr w:rsidR="00961AA2" w:rsidRPr="00496CF4" w:rsidTr="00B3699F">
        <w:trPr>
          <w:cantSplit/>
          <w:trHeight w:val="300"/>
          <w:tblHeader/>
        </w:trPr>
        <w:tc>
          <w:tcPr>
            <w:tcW w:w="915" w:type="dxa"/>
            <w:tcBorders>
              <w:top w:val="single" w:sz="4" w:space="0" w:color="auto"/>
              <w:left w:val="single" w:sz="4" w:space="0" w:color="auto"/>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 </w:t>
            </w:r>
          </w:p>
        </w:tc>
        <w:tc>
          <w:tcPr>
            <w:tcW w:w="117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Doc</w:t>
            </w:r>
          </w:p>
        </w:tc>
        <w:tc>
          <w:tcPr>
            <w:tcW w:w="108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Sec</w:t>
            </w:r>
          </w:p>
        </w:tc>
        <w:tc>
          <w:tcPr>
            <w:tcW w:w="63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Pg</w:t>
            </w:r>
          </w:p>
        </w:tc>
        <w:tc>
          <w:tcPr>
            <w:tcW w:w="585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Question</w:t>
            </w:r>
          </w:p>
        </w:tc>
        <w:tc>
          <w:tcPr>
            <w:tcW w:w="8010" w:type="dxa"/>
            <w:tcBorders>
              <w:top w:val="single" w:sz="4" w:space="0" w:color="auto"/>
              <w:left w:val="nil"/>
              <w:bottom w:val="single" w:sz="4" w:space="0" w:color="auto"/>
              <w:right w:val="single" w:sz="4" w:space="0" w:color="auto"/>
            </w:tcBorders>
            <w:shd w:val="clear" w:color="000000" w:fill="C6D9F1" w:themeFill="text2" w:themeFillTint="33"/>
            <w:hideMark/>
          </w:tcPr>
          <w:p w:rsidR="00961AA2" w:rsidRPr="008A1635" w:rsidRDefault="00961AA2" w:rsidP="00B3699F">
            <w:pPr>
              <w:rPr>
                <w:rFonts w:eastAsia="Times New Roman"/>
                <w:b/>
                <w:bCs/>
                <w:color w:val="000000"/>
                <w:sz w:val="18"/>
                <w:szCs w:val="18"/>
              </w:rPr>
            </w:pPr>
            <w:r w:rsidRPr="008A1635">
              <w:rPr>
                <w:rFonts w:eastAsia="Times New Roman"/>
                <w:b/>
                <w:bCs/>
                <w:color w:val="000000"/>
                <w:sz w:val="18"/>
                <w:szCs w:val="18"/>
              </w:rPr>
              <w:t>Answer</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B.1</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Specific to PennDOT, is the intent to continue using the Tivoli Monitoring Environment on zLinux in the environment?      If so, can the specifics of that monitoring environment be provided?</w:t>
            </w:r>
          </w:p>
        </w:tc>
        <w:tc>
          <w:tcPr>
            <w:tcW w:w="8010" w:type="dxa"/>
            <w:tcBorders>
              <w:top w:val="nil"/>
              <w:left w:val="nil"/>
              <w:bottom w:val="single" w:sz="4" w:space="0" w:color="auto"/>
              <w:right w:val="single" w:sz="4" w:space="0" w:color="auto"/>
            </w:tcBorders>
            <w:shd w:val="clear" w:color="auto" w:fill="auto"/>
            <w:hideMark/>
          </w:tcPr>
          <w:p w:rsidR="00961AA2" w:rsidRPr="001F6450" w:rsidRDefault="00961AA2" w:rsidP="00B3699F">
            <w:pPr>
              <w:rPr>
                <w:rFonts w:eastAsia="Times New Roman"/>
                <w:strike/>
                <w:color w:val="FF0000"/>
                <w:sz w:val="18"/>
                <w:szCs w:val="18"/>
              </w:rPr>
            </w:pPr>
            <w:r w:rsidRPr="001F6450">
              <w:rPr>
                <w:rFonts w:eastAsia="Times New Roman"/>
                <w:strike/>
                <w:color w:val="FF0000"/>
                <w:sz w:val="18"/>
                <w:szCs w:val="18"/>
              </w:rPr>
              <w:t>Yes, the intent is to continue using the Tivoli Monitoring Environment on zLinux.  Please see Exhibit B.7 - IBM MF SW Inventory v3 and Exhibit N.1 - PennDOT Monitoring for additional details.  These are confidential documents.  To receive a copy, please contact Sheryl Kimport, the Issuing Officer.</w:t>
            </w:r>
          </w:p>
        </w:tc>
      </w:tr>
      <w:tr w:rsidR="00961AA2" w:rsidRPr="00496CF4"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Request for Proposal</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Calendar of Events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ix and x</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Can you describe the high level milestones/events after March 8th for the RFP process? (downselect process, award date and timeframe, etc)</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RFP Part III contains information on evaluation and selection.   Additional information on the procurement process can be found at the </w:t>
            </w:r>
            <w:hyperlink r:id="rId7" w:history="1">
              <w:r w:rsidRPr="008A1635">
                <w:rPr>
                  <w:rStyle w:val="Hyperlink"/>
                  <w:rFonts w:eastAsia="Times New Roman"/>
                  <w:sz w:val="18"/>
                  <w:szCs w:val="18"/>
                </w:rPr>
                <w:t>DGS website</w:t>
              </w:r>
            </w:hyperlink>
            <w:r w:rsidRPr="008A1635">
              <w:rPr>
                <w:rFonts w:eastAsia="Times New Roman"/>
                <w:sz w:val="18"/>
                <w:szCs w:val="18"/>
              </w:rPr>
              <w:t>.</w:t>
            </w:r>
            <w:r w:rsidRPr="008A1635">
              <w:rPr>
                <w:rFonts w:eastAsia="Times New Roman"/>
                <w:sz w:val="18"/>
                <w:szCs w:val="18"/>
              </w:rPr>
              <w:br/>
            </w:r>
            <w:r w:rsidRPr="008A1635">
              <w:rPr>
                <w:rFonts w:eastAsia="Times New Roman"/>
                <w:sz w:val="18"/>
                <w:szCs w:val="18"/>
              </w:rPr>
              <w:br/>
              <w:t>The proposal submission date has been extended.  Please refer to Addendum 6 for additional information.</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specific Financial Management requirements regarding asset transfer and forecasting.</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For purposes of submitting proposals Offerors should assume there will be no asset transfers.  The Commonwealth foresees no asset transfers at this time related to this procurement.  Forecasting should include anticipated demand for the services provided within the procurement and the associated costs.  The Commonwealth requires the selected Offeror to perform the tasks and provide the deliverables detailed within this section of Schedule F.</w:t>
            </w:r>
          </w:p>
        </w:tc>
      </w:tr>
      <w:tr w:rsidR="00961AA2" w:rsidRPr="00496CF4" w:rsidTr="00B3699F">
        <w:trPr>
          <w:cantSplit/>
          <w:trHeight w:val="31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3.2.1.1.4</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more details around the quantity and nature of its business partner agreement connectivity support requirements expected from the Offeror.</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Commonwealth’s Business Partners (BP) provide the physical circuits to the Commonwealth’s BP network into the Commonwealth’s co-location space within the EDC and DPH.  The BP determines the number, size and redundancy of the individual BP connections.  The Offeror must support these connections by providing security, access, network connections to the Commonwealth, network, floor/cabinet space, cooling, and power.  </w:t>
            </w:r>
            <w:r w:rsidRPr="008A1635">
              <w:rPr>
                <w:rFonts w:eastAsia="Times New Roman"/>
                <w:sz w:val="18"/>
                <w:szCs w:val="18"/>
              </w:rPr>
              <w:br/>
              <w:t>Currently there are 3.5 cabinets within the Co-Lo space in the EDC dedicated to the BP containing 65 BP connections to support within the EDC.  The DPH has 1 BP connection.</w:t>
            </w:r>
            <w:r w:rsidRPr="008A1635">
              <w:rPr>
                <w:rFonts w:eastAsia="Times New Roman"/>
                <w:sz w:val="18"/>
                <w:szCs w:val="18"/>
              </w:rPr>
              <w:br/>
            </w:r>
            <w:r w:rsidRPr="008A1635">
              <w:rPr>
                <w:rFonts w:eastAsia="Times New Roman"/>
                <w:sz w:val="18"/>
                <w:szCs w:val="18"/>
              </w:rPr>
              <w:br/>
              <w:t>Exhibit D.13 - EDC Business Partner Circuits contains the current list of BP circuits within the EDC and may be different at the time of transition.  This is a confidential document.  To receive a copy, please contact Sheryl Kimport, the Issuing Officer.</w:t>
            </w:r>
          </w:p>
        </w:tc>
      </w:tr>
      <w:tr w:rsidR="00961AA2" w:rsidRPr="00496CF4" w:rsidTr="00B3699F">
        <w:trPr>
          <w:cantSplit/>
          <w:trHeight w:val="24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3.2.1.1.5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34-35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Pertaining to the noted requests (i.e. Cost-Benefit Analysis, Conceptualization, High Level Estimate and Technical Opinion(s)), should cost for such requests be reflected in the service catalog?</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will be responsible for providing cost-benefit analysis, conceptualization, high level estimates and technical opinion(s) at its cost and as part of the general provision of services.  These services should not be included as standalone items in the Service Catalog.</w:t>
            </w:r>
            <w:r w:rsidRPr="008A1635">
              <w:rPr>
                <w:rFonts w:eastAsia="Times New Roman"/>
                <w:sz w:val="18"/>
                <w:szCs w:val="18"/>
              </w:rPr>
              <w:br/>
            </w:r>
            <w:r w:rsidRPr="008A1635">
              <w:rPr>
                <w:rFonts w:eastAsia="Times New Roman"/>
                <w:sz w:val="18"/>
                <w:szCs w:val="18"/>
              </w:rPr>
              <w:br/>
              <w:t>The Commonwealth considers detailed engineering specification and assistance services to be a consulting level engagement that would be billable to the Commonwealth according to the rate card in Schedule I.  The selected Offeror must receive approval from the Commonwealth for all engagements utilizing the rate card.</w:t>
            </w:r>
          </w:p>
        </w:tc>
      </w:tr>
      <w:tr w:rsidR="00961AA2" w:rsidRPr="00496CF4" w:rsidTr="00B3699F">
        <w:trPr>
          <w:cantSplit/>
          <w:trHeight w:val="21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6</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3.2.4.4</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Requirement number 5 states “as required”.  Please define as required and who will be financially responsible for providing this technical advice and support.</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“As required” in reference to this requirement means the selected Offeror will be responsible for providing the referenced technical advice and support at its cost and as part of the general provision of services. </w:t>
            </w:r>
            <w:r w:rsidRPr="008A1635">
              <w:rPr>
                <w:rFonts w:eastAsia="Times New Roman"/>
                <w:sz w:val="18"/>
                <w:szCs w:val="18"/>
              </w:rPr>
              <w:br/>
            </w:r>
            <w:r w:rsidRPr="008A1635">
              <w:rPr>
                <w:rFonts w:eastAsia="Times New Roman"/>
                <w:sz w:val="18"/>
                <w:szCs w:val="18"/>
              </w:rPr>
              <w:br/>
              <w:t>The Commonwealth considers detailed engineering specification and assistance services to be a consulting level engagement that would be billable to the Commonwealth according to the rate card in Schedule I.  The selected Offeror must receive approval from the Commonwealth for all engagements utilizing the rate card.</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Item #5 states “Provide expedited service,…” please define “expedited”.</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An expedited service is a deployment of an existing catalog service in an interval shorter than the standard interval.  These should occur rarely, however, there may be times that this is required due to a failure of another service/equipment or a requirement set upon the Commonwealth that is outside the Commonwealth’s control, such as one set by Federal or state law.</w:t>
            </w:r>
          </w:p>
        </w:tc>
      </w:tr>
      <w:tr w:rsidR="00961AA2" w:rsidRPr="00496CF4" w:rsidTr="00B3699F">
        <w:trPr>
          <w:cantSplit/>
          <w:trHeight w:val="26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3.3.2.1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is COPA's current Chargeback System and what existing services are being charged back?</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does not have a common system for charge backs.   Some current services are not charged back, and some are done manually. All services provided by the incumbent contractor are charged back using the Commonwealth custom ESMS system.  The selected Offeror must connect to the Commonwealth’s ITSM system, which is currently BMC Remedy.</w:t>
            </w:r>
            <w:r w:rsidRPr="008A1635">
              <w:rPr>
                <w:rFonts w:eastAsia="Times New Roman"/>
                <w:sz w:val="18"/>
                <w:szCs w:val="18"/>
              </w:rPr>
              <w:br/>
              <w:t xml:space="preserve"> </w:t>
            </w:r>
            <w:r w:rsidRPr="008A1635">
              <w:rPr>
                <w:rFonts w:eastAsia="Times New Roman"/>
                <w:sz w:val="18"/>
                <w:szCs w:val="18"/>
              </w:rPr>
              <w:br/>
              <w:t xml:space="preserve">The Commonwealth does not require a full charge back system.  The agency invoices should provide billing detail so the agency has full transparency into the services it consumed.  Billing details shall include all services procured by agency general ledger (GL) code.  A service may be allocated across multiple GL codes.  </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provide clarification on how changes to an environment or introduction of new software would allow changes to service levels. These changes would require testing to verify environment can support new service levels.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Agencies will subscribe to Service Levels.  Changes to the environment or software under the control of the selected Offeror will not change the SLA.  If the Commonwealth requests a change that impacts or may impact an SLA, the Offeror must notify the Commonwealth that the SLA will no-longer be supportable and provide options to the Commonwealth for resolution before implementing the new environment or new software.</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10</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is the complete infrastructure for an application determined for SLA purposes?  How are application infrastructure components not under Offeror's control excluded from the Application Infrastructure Availability SLA?</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CMDB must include enough detailed information to allow the Commonwealth and selected Offeror to make the necessary determination.  The CMDB must include all infrastructure details including components not under the Offeror’s control.   Application infrastructure components not under Offeror's control will be excluded from the Application Infrastructure Availability SLA.</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definition of "Degraded Condition" is very subjective in the absence of concrete measurements and data collection. How does the Commonwealth currently measure application degradation?</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Currently the Commonwealth does not have a single standard definition for Degraded Condition.  For purposes of this RFP, Schedule A - Defined Terms defines degraded condition as "A Service that tests as fully operational but is degraded below user expectations across a significant segment of the user population as determined by the Commonwealth.” </w:t>
            </w:r>
          </w:p>
        </w:tc>
      </w:tr>
      <w:tr w:rsidR="00961AA2" w:rsidRPr="00496CF4" w:rsidTr="00B3699F">
        <w:trPr>
          <w:cantSplit/>
          <w:trHeight w:val="40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J.3</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5 thru 9</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Per definitions SL-1 - SL-5 Application Infrastructure Availability, measurement is by application, not by server instance, however, the Offeror is not responsible for the Application.  What provisions in your SLA definitions/requirements take into account infrastructure availability and application downtime due to application failure, Commonwealth activities, or Commonwealth suppliers outside the scope of this contract?     </w:t>
            </w:r>
            <w:r w:rsidRPr="008A1635">
              <w:rPr>
                <w:rFonts w:eastAsia="Times New Roman"/>
                <w:color w:val="000000"/>
                <w:sz w:val="18"/>
                <w:szCs w:val="18"/>
              </w:rPr>
              <w:br/>
            </w:r>
            <w:r w:rsidRPr="008A1635">
              <w:rPr>
                <w:rFonts w:eastAsia="Times New Roman"/>
                <w:color w:val="000000"/>
                <w:sz w:val="18"/>
                <w:szCs w:val="18"/>
              </w:rPr>
              <w:br/>
              <w:t xml:space="preserve">Will there be 2000 Application Infrastructure Availability SLAs?    </w:t>
            </w:r>
            <w:r w:rsidRPr="008A1635">
              <w:rPr>
                <w:rFonts w:eastAsia="Times New Roman"/>
                <w:color w:val="000000"/>
                <w:sz w:val="18"/>
                <w:szCs w:val="18"/>
              </w:rPr>
              <w:br/>
            </w:r>
            <w:r w:rsidRPr="008A1635">
              <w:rPr>
                <w:rFonts w:eastAsia="Times New Roman"/>
                <w:color w:val="000000"/>
                <w:sz w:val="18"/>
                <w:szCs w:val="18"/>
              </w:rPr>
              <w:br/>
              <w:t>What applications monitoring tools and processes exists today regarding the monitoring of availability for the 2000+ applications in scope?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must provide the relationship of Infrastructure to Application within the CMDB.  SL01 – SL05 take into consideration every infrastructure component for the application as related to the SLA ordered.   The Offeror is responsible for the services ordered.  Therefore, the selected Offeror will be responsible to make sure all of the associated services are working as designed and ordered.</w:t>
            </w:r>
            <w:r w:rsidRPr="008A1635">
              <w:rPr>
                <w:rFonts w:eastAsia="Times New Roman"/>
                <w:sz w:val="18"/>
                <w:szCs w:val="18"/>
              </w:rPr>
              <w:br/>
            </w:r>
            <w:r w:rsidRPr="008A1635">
              <w:rPr>
                <w:rFonts w:eastAsia="Times New Roman"/>
                <w:sz w:val="18"/>
                <w:szCs w:val="18"/>
              </w:rPr>
              <w:br/>
              <w:t xml:space="preserve">There will be an Application Infrastructure Availability SLA for each application.  </w:t>
            </w:r>
            <w:r w:rsidRPr="008A1635">
              <w:rPr>
                <w:rFonts w:eastAsia="Times New Roman"/>
                <w:sz w:val="18"/>
                <w:szCs w:val="18"/>
              </w:rPr>
              <w:br/>
            </w:r>
            <w:r w:rsidRPr="008A1635">
              <w:rPr>
                <w:rFonts w:eastAsia="Times New Roman"/>
                <w:sz w:val="18"/>
                <w:szCs w:val="18"/>
              </w:rPr>
              <w:br/>
              <w:t xml:space="preserve">The following are known tools: MS SCOM, MS SCCM, Paessler (External URL Testing), CiscoWorks, NIMS, syslog, Vmware vCenter, Idera SQL DM, Oracle OEM, Big Brother, EMC Data Protection Advisor, JC Metasys, IBM TPC. Tivoli ITCAM. SightLine.Wiley. SAP Solutions Manager. IBM Director. Nagius. </w:t>
            </w:r>
            <w:r w:rsidRPr="008A1635">
              <w:rPr>
                <w:rFonts w:eastAsia="Times New Roman"/>
                <w:sz w:val="18"/>
                <w:szCs w:val="18"/>
              </w:rPr>
              <w:br/>
            </w:r>
            <w:r w:rsidRPr="008A1635">
              <w:rPr>
                <w:rFonts w:eastAsia="Times New Roman"/>
                <w:sz w:val="18"/>
                <w:szCs w:val="18"/>
              </w:rPr>
              <w:br/>
              <w:t>Please refer to Section 3.2.3.2 Site Operations of Schedule F; specifically requirement 1 and Section 3.2.4 for additional information.</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D-02.77</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“backup audit finding”.  Typically in co-location services the Service Provider is not responsible for backups.  Please explain the need for this audit, and please provide the requirements for backing up co-location space if needed.</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EDC currently provides backup services for co-location.  The selected Offeror must provide backup services as ordered.  An audit is necessary for co-location services if backup service is ordered.</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J.1-3 SLA and Schedule I</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How will development and test environments be selected from the RUs? How will SLAs apply to development and test environments?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Development and test environments will be ordered from the Service Catalog and identified as application test or application development.  SLAs will apply based on the SLA ordered by the application owner.</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15</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 CoPA Datacenter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3.2.4.8</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131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services, equipment or access beyond rack space will be required in support of co-location services?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Services required to support co-location include rack space, power, network connectivity and SAN connectivity within a datacenter that meets the requirements of the RFP and is included in Schedule E - Datacenter Locations. It also includes access to the server rack for agency IT staff.</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16</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Datacenter Related Volumetrics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Are Prime Hours 0600-1800 Monday – Friday, or 7 days per week?</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For purposes of submitting a proposal Offerors should assume prime hours are 0600-1800 Eastern time (Standard or Daylight Savings time, as applicable) Monday - Friday.   </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17</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 COPA Datacenter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We understand that the Commonwealth is considering leveraging the services of NIC for some application hosting. How does this impact the servers and services included in scope for this RFP?</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services referenced which fall under the Self-Funded EGovernment Services (44000010625) Contract held by Pennsylvania Interactive LLC may reduce the amount of infrastructure that will need to be transitioned from the EDC.</w:t>
            </w:r>
          </w:p>
        </w:tc>
      </w:tr>
      <w:tr w:rsidR="00961AA2" w:rsidRPr="00496CF4"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18</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 CoPA Datacenter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 Transition Services</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141 - 155</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Could the Commonwealth please provide the number of landscapes per SAP application?</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DOR has 5 landscapes: sandbox, development, QA, training, and production. </w:t>
            </w:r>
            <w:r w:rsidRPr="008A1635">
              <w:rPr>
                <w:rFonts w:eastAsia="Times New Roman"/>
                <w:sz w:val="18"/>
                <w:szCs w:val="18"/>
              </w:rPr>
              <w:br/>
            </w:r>
            <w:r w:rsidRPr="008A1635">
              <w:rPr>
                <w:rFonts w:eastAsia="Times New Roman"/>
                <w:sz w:val="18"/>
                <w:szCs w:val="18"/>
              </w:rPr>
              <w:br/>
              <w:t xml:space="preserve">IES’s SAP ERP ECC system has 6 landscapes: sandbox, development, quality control, production support, production, and training. The other SAP applications have 5 or less depending on the SAP component and business need. </w:t>
            </w:r>
          </w:p>
        </w:tc>
      </w:tr>
      <w:tr w:rsidR="00961AA2" w:rsidRPr="00496CF4" w:rsidTr="00B3699F">
        <w:trPr>
          <w:cantSplit/>
          <w:trHeight w:val="45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19</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Exhibit B.1 DPH Asset List</w:t>
            </w:r>
            <w:r w:rsidRPr="008A1635">
              <w:rPr>
                <w:rFonts w:eastAsia="Times New Roman"/>
                <w:color w:val="000000"/>
                <w:sz w:val="18"/>
                <w:szCs w:val="18"/>
              </w:rPr>
              <w:br/>
              <w:t>Exhibit B.2 DPH Common Wealth Owned DPH IT</w:t>
            </w:r>
            <w:r w:rsidRPr="008A1635">
              <w:rPr>
                <w:rFonts w:eastAsia="Times New Roman"/>
                <w:color w:val="000000"/>
                <w:sz w:val="18"/>
                <w:szCs w:val="18"/>
              </w:rPr>
              <w:br/>
              <w:t>Exhibit H.1 DOR Data Center Inventory</w:t>
            </w:r>
            <w:r w:rsidRPr="008A1635">
              <w:rPr>
                <w:rFonts w:eastAsia="Times New Roman"/>
                <w:color w:val="000000"/>
                <w:sz w:val="18"/>
                <w:szCs w:val="18"/>
              </w:rPr>
              <w:br/>
              <w:t>Exhibit H.2 DOR DPH Asset List</w:t>
            </w:r>
            <w:r w:rsidRPr="008A1635">
              <w:rPr>
                <w:rFonts w:eastAsia="Times New Roman"/>
                <w:color w:val="000000"/>
                <w:sz w:val="18"/>
                <w:szCs w:val="18"/>
              </w:rPr>
              <w:br/>
              <w:t>Exhibit I.9 IES Technical Refresh DP</w:t>
            </w:r>
            <w:r w:rsidRPr="008A1635">
              <w:rPr>
                <w:rFonts w:eastAsia="Times New Roman"/>
                <w:color w:val="000000"/>
                <w:sz w:val="18"/>
                <w:szCs w:val="18"/>
              </w:rPr>
              <w:br/>
              <w:t>Exhibit I.1 IES DPH COPA Owned IT Assets</w:t>
            </w:r>
            <w:r w:rsidRPr="008A1635">
              <w:rPr>
                <w:rFonts w:eastAsia="Times New Roman"/>
                <w:color w:val="000000"/>
                <w:sz w:val="18"/>
                <w:szCs w:val="18"/>
              </w:rPr>
              <w:br/>
              <w:t>Exhibit E.1 DLI Data Center Inventory Template</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failover technologies are deployed (active-active, active passive) and where?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Windows: All Vmware ESX are active-active in the same datacenter.</w:t>
            </w:r>
            <w:r w:rsidRPr="008A1635">
              <w:rPr>
                <w:rFonts w:eastAsia="Times New Roman"/>
                <w:sz w:val="18"/>
                <w:szCs w:val="18"/>
              </w:rPr>
              <w:br/>
            </w:r>
            <w:r w:rsidRPr="008A1635">
              <w:rPr>
                <w:rFonts w:eastAsia="Times New Roman"/>
                <w:sz w:val="18"/>
                <w:szCs w:val="18"/>
              </w:rPr>
              <w:br/>
              <w:t>AIX HACMP:  PC1 CI/DB &amp; prddb01/02 are active-active in the same datacenter and other clusters are active-passive</w:t>
            </w:r>
            <w:r w:rsidRPr="008A1635">
              <w:rPr>
                <w:rFonts w:eastAsia="Times New Roman"/>
                <w:sz w:val="18"/>
                <w:szCs w:val="18"/>
              </w:rPr>
              <w:br/>
            </w:r>
            <w:r w:rsidRPr="008A1635">
              <w:rPr>
                <w:rFonts w:eastAsia="Times New Roman"/>
                <w:sz w:val="18"/>
                <w:szCs w:val="18"/>
              </w:rPr>
              <w:br/>
              <w:t>See Exhibit I.14 IES Anticipated SLA service levels.  This is a confidential document.  To receive a copy, please contact Sheryl Kimport, the Issuing Officer.</w:t>
            </w:r>
          </w:p>
        </w:tc>
      </w:tr>
      <w:tr w:rsidR="00961AA2" w:rsidRPr="00496CF4" w:rsidTr="00B3699F">
        <w:trPr>
          <w:cantSplit/>
          <w:trHeight w:val="6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20</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Regarding Commonwealth of Pennsylvania Data Center Computing Services RFP 6100022698 and the current sealed proposal submission date of Friday March 8, 2013 at 1:00pm eastern standard time, we formally requests from the Commonwealth of Pennsylvania, Office of Administration, Office for Information Technology, a 60 day extension to Wednesday May 8, 2013 at 1:00pm eastern standard time for submitting our sealed proposal response.</w:t>
            </w:r>
            <w:r w:rsidRPr="008A1635">
              <w:rPr>
                <w:rFonts w:eastAsia="Times New Roman"/>
                <w:color w:val="000000"/>
                <w:sz w:val="18"/>
                <w:szCs w:val="18"/>
              </w:rPr>
              <w:br/>
            </w:r>
            <w:r w:rsidRPr="008A1635">
              <w:rPr>
                <w:rFonts w:eastAsia="Times New Roman"/>
                <w:color w:val="000000"/>
                <w:sz w:val="18"/>
                <w:szCs w:val="18"/>
              </w:rPr>
              <w:br/>
              <w:t xml:space="preserve">We request this extension in order to provide the Commonwealth of Pennsylvania with the highest quality proposal response that meets all the objectives and requirements specified in RFP 6100022698 . A significant number of answers to questions asked by bidders in round one are still outstanding, having not yet been posted by the Commonwealth of Pennsylvania. In addition, the answers to questions from round two are not schedule to be posted by the Commonwealth of Pennsylvania until February 15, 2013.  </w:t>
            </w:r>
            <w:r w:rsidRPr="008A1635">
              <w:rPr>
                <w:rFonts w:eastAsia="Times New Roman"/>
                <w:color w:val="000000"/>
                <w:sz w:val="18"/>
                <w:szCs w:val="18"/>
              </w:rPr>
              <w:br/>
            </w:r>
            <w:r w:rsidRPr="008A1635">
              <w:rPr>
                <w:rFonts w:eastAsia="Times New Roman"/>
                <w:color w:val="000000"/>
                <w:sz w:val="18"/>
                <w:szCs w:val="18"/>
              </w:rPr>
              <w:br/>
              <w:t xml:space="preserve">Answers to all questions are vital to us, in order to provide the highest quality proposal response to the Commonwealth of Pennsylvania. With the current schedule, time is of the essence given the current submission date.   </w:t>
            </w:r>
            <w:r w:rsidRPr="008A1635">
              <w:rPr>
                <w:rFonts w:eastAsia="Times New Roman"/>
                <w:color w:val="000000"/>
                <w:sz w:val="18"/>
                <w:szCs w:val="18"/>
              </w:rPr>
              <w:br/>
              <w:t xml:space="preserve"> </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proposal submission date has been extended.  Please refer to Addendum 6 for additional information.</w:t>
            </w:r>
          </w:p>
        </w:tc>
      </w:tr>
      <w:tr w:rsidR="00961AA2" w:rsidRPr="00496CF4" w:rsidTr="00B3699F">
        <w:trPr>
          <w:cantSplit/>
          <w:trHeight w:val="12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A, Defined Terms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Which data centers utilize Internet service provided locally versus leveraged service from one location? What is the bandwidth and average utilization for Internet access at each location, which will need to be accommodated at the target data center?</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All datacenters are connected to COPANET.  The current internet connections are connected to COPANET. See Exhibit P – Enterprise Internet Bandwidth utilization. This is a confidential document.  To receive a copy, please contact Sheryl Kimport, the Issuing Officer. </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A, Defined Terms and Schedule I , Offeror Pricing Forms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How many licensed Site to Site VPN tunnels will terminate in the EDC or Target Data Centers? </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This is dependent upon the architecture provided.</w:t>
            </w:r>
          </w:p>
        </w:tc>
      </w:tr>
      <w:tr w:rsidR="00961AA2" w:rsidRPr="00496CF4"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23</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Exhibit G.7, PSP – Summary of CJIS Requirements </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Would the Commonwealth please describe the remote access systems which may be leveraged, the capacity, and how many users will require access into the EDC and Target Data Centers for PSP?</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All remote access by technical staff supporting CJIS infrastructure and systems must be compliant with the CJIS Security Requirement.   The Pennsylvania State Police maintains its own remote access infrastructure which is utilized for all remote access to PSP components residing in remote data centers for its technical staff and vendors supporting IT solutions.  PSP's solution is a cluster of Juniper SSL VPN appliances which are maintained by the PSP Network Security Unit.  Less than one hundred PSP users require access to the Data Centers.  </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24</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A, Defined Terms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If the offeror expected to provide Internet Service at the EDC, what are the bandwidth requirements?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Internet service is already in place in the EDC. Expansion of Internet service, if required, shall be provided by the selected Offeror. See Exhibit P – Enterprise Internet Bandwidth Utilization.  This is a confidential document.  To receive a copy, please contact Sheryl Kimport, the Issuing Officer.</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25</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A, Defined Terms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What types of access and connectivity options are available to the offeror for CopaNet and at what locations?  </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requires the selected Offeror to have at least two diverse connections to COPANET.  One being EDC and the other determined during the discovery process in transition planning.</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26</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3.2.3.2</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As part of the security requirement, does all backup media need to be encrypted other than the listed CJIS and CCHRI requirements?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For purposes of submitting a proposal Offerors should assume all backup media must be encrypted. </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27</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3.2.3.2</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Would the Commonwealth please provide the current offsite storage vendor for the Commonwealth’s tape/media handing?</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Adaptive Data Storage, New Jersey</w:t>
            </w:r>
          </w:p>
        </w:tc>
      </w:tr>
      <w:tr w:rsidR="00961AA2" w:rsidRPr="00496CF4" w:rsidTr="00B3699F">
        <w:trPr>
          <w:cantSplit/>
          <w:trHeight w:val="24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28</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3.2.3.2</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88</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Is there any historical data that is retrieved on a regular basis? If so, would the Commonwealth please provide the typical age of the data along with the backup software and type of media?</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Yes, there is historical data that is retrieved on a regular basis and is stored on primary server/storage.</w:t>
            </w:r>
            <w:r w:rsidRPr="008A1635">
              <w:rPr>
                <w:rFonts w:eastAsia="Times New Roman"/>
                <w:sz w:val="18"/>
                <w:szCs w:val="18"/>
              </w:rPr>
              <w:br/>
            </w:r>
            <w:r w:rsidRPr="008A1635">
              <w:rPr>
                <w:rFonts w:eastAsia="Times New Roman"/>
                <w:sz w:val="18"/>
                <w:szCs w:val="18"/>
              </w:rPr>
              <w:br/>
              <w:t>Typical/default retention policy for backups:</w:t>
            </w:r>
            <w:r w:rsidRPr="008A1635">
              <w:rPr>
                <w:rFonts w:eastAsia="Times New Roman"/>
                <w:sz w:val="18"/>
                <w:szCs w:val="18"/>
              </w:rPr>
              <w:br/>
            </w:r>
            <w:r w:rsidRPr="008A1635">
              <w:rPr>
                <w:rFonts w:eastAsia="Times New Roman"/>
                <w:sz w:val="18"/>
                <w:szCs w:val="18"/>
              </w:rPr>
              <w:br/>
              <w:t>Daily = 30 days</w:t>
            </w:r>
            <w:r w:rsidRPr="008A1635">
              <w:rPr>
                <w:rFonts w:eastAsia="Times New Roman"/>
                <w:sz w:val="18"/>
                <w:szCs w:val="18"/>
              </w:rPr>
              <w:br/>
              <w:t>Weekly = 30 days</w:t>
            </w:r>
            <w:r w:rsidRPr="008A1635">
              <w:rPr>
                <w:rFonts w:eastAsia="Times New Roman"/>
                <w:sz w:val="18"/>
                <w:szCs w:val="18"/>
              </w:rPr>
              <w:br/>
              <w:t>Monthly = 1 year</w:t>
            </w:r>
            <w:r w:rsidRPr="008A1635">
              <w:rPr>
                <w:rFonts w:eastAsia="Times New Roman"/>
                <w:sz w:val="18"/>
                <w:szCs w:val="18"/>
              </w:rPr>
              <w:br/>
              <w:t>Yearly = 7 years</w:t>
            </w:r>
          </w:p>
        </w:tc>
      </w:tr>
      <w:tr w:rsidR="00961AA2" w:rsidRPr="00496CF4" w:rsidTr="00B3699F">
        <w:trPr>
          <w:cantSplit/>
          <w:trHeight w:val="33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29</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Revised Schedule F,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3.2.4.4</w:t>
            </w:r>
            <w:r w:rsidRPr="008A1635">
              <w:rPr>
                <w:rFonts w:eastAsia="Times New Roman"/>
                <w:color w:val="000000"/>
                <w:sz w:val="18"/>
                <w:szCs w:val="18"/>
              </w:rPr>
              <w:br/>
            </w:r>
            <w:r w:rsidRPr="008A1635">
              <w:rPr>
                <w:rFonts w:eastAsia="Times New Roman"/>
                <w:color w:val="000000"/>
                <w:sz w:val="18"/>
                <w:szCs w:val="18"/>
              </w:rPr>
              <w:br/>
              <w:t>3.2.4.4</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95 #1</w:t>
            </w:r>
            <w:r w:rsidRPr="008A1635">
              <w:rPr>
                <w:rFonts w:eastAsia="Times New Roman"/>
                <w:color w:val="000000"/>
                <w:sz w:val="18"/>
                <w:szCs w:val="18"/>
              </w:rPr>
              <w:br/>
            </w:r>
            <w:r w:rsidRPr="008A1635">
              <w:rPr>
                <w:rFonts w:eastAsia="Times New Roman"/>
                <w:color w:val="000000"/>
                <w:sz w:val="18"/>
                <w:szCs w:val="18"/>
              </w:rPr>
              <w:br/>
              <w:t>110 #1</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For servers hosted at the EDC facility, would the Commonwealth please provide the following information:</w:t>
            </w:r>
            <w:r w:rsidRPr="008A1635">
              <w:rPr>
                <w:rFonts w:eastAsia="Times New Roman"/>
                <w:color w:val="000000"/>
                <w:sz w:val="18"/>
                <w:szCs w:val="18"/>
              </w:rPr>
              <w:br/>
            </w:r>
            <w:r w:rsidRPr="008A1635">
              <w:rPr>
                <w:rFonts w:eastAsia="Times New Roman"/>
                <w:color w:val="000000"/>
                <w:sz w:val="18"/>
                <w:szCs w:val="18"/>
              </w:rPr>
              <w:br/>
              <w:t>• Location of the staff providing server console monitoring operations.</w:t>
            </w:r>
            <w:r w:rsidRPr="008A1635">
              <w:rPr>
                <w:rFonts w:eastAsia="Times New Roman"/>
                <w:color w:val="000000"/>
                <w:sz w:val="18"/>
                <w:szCs w:val="18"/>
              </w:rPr>
              <w:br/>
              <w:t>• What systems management toolset is in place to perform server monitoring and console monitoring operations?</w:t>
            </w:r>
            <w:r w:rsidRPr="008A1635">
              <w:rPr>
                <w:rFonts w:eastAsia="Times New Roman"/>
                <w:color w:val="000000"/>
                <w:sz w:val="18"/>
                <w:szCs w:val="18"/>
              </w:rPr>
              <w:br/>
              <w:t>• Who performs the console monitoring operation services?</w:t>
            </w:r>
            <w:r w:rsidRPr="008A1635">
              <w:rPr>
                <w:rFonts w:eastAsia="Times New Roman"/>
                <w:color w:val="000000"/>
                <w:sz w:val="18"/>
                <w:szCs w:val="18"/>
              </w:rPr>
              <w:br/>
              <w:t>• What other duties do the console monitoring operations staff performs at the EDC facility?</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location of primary support/monitoring staff for server console monitoring operations is EDC.</w:t>
            </w:r>
            <w:r w:rsidRPr="008A1635">
              <w:rPr>
                <w:rFonts w:eastAsia="Times New Roman"/>
                <w:sz w:val="18"/>
                <w:szCs w:val="18"/>
              </w:rPr>
              <w:br/>
            </w:r>
            <w:r w:rsidRPr="008A1635">
              <w:rPr>
                <w:rFonts w:eastAsia="Times New Roman"/>
                <w:sz w:val="18"/>
                <w:szCs w:val="18"/>
              </w:rPr>
              <w:br/>
              <w:t>EDC systems management tools:  MS SCOM, MS SCCM, Paessler (External URL Testing), CiscoWorks, NIMS, syslog, Vmware vCenter, Idera SQL DM, Oracle OEM, Big Brother, EMC Data Protection Advisor, JC Metasys, IBM TPC</w:t>
            </w:r>
            <w:r w:rsidRPr="008A1635">
              <w:rPr>
                <w:rFonts w:eastAsia="Times New Roman"/>
                <w:sz w:val="18"/>
                <w:szCs w:val="18"/>
              </w:rPr>
              <w:br/>
            </w:r>
            <w:r w:rsidRPr="008A1635">
              <w:rPr>
                <w:rFonts w:eastAsia="Times New Roman"/>
                <w:sz w:val="18"/>
                <w:szCs w:val="18"/>
              </w:rPr>
              <w:br/>
              <w:t>EDC console monitoring operations are performed by onsite operations staff at the EDC.</w:t>
            </w:r>
            <w:r w:rsidRPr="008A1635">
              <w:rPr>
                <w:rFonts w:eastAsia="Times New Roman"/>
                <w:sz w:val="18"/>
                <w:szCs w:val="18"/>
              </w:rPr>
              <w:br/>
            </w:r>
            <w:r w:rsidRPr="008A1635">
              <w:rPr>
                <w:rFonts w:eastAsia="Times New Roman"/>
                <w:sz w:val="18"/>
                <w:szCs w:val="18"/>
              </w:rPr>
              <w:br/>
              <w:t>Other duties include reporting, troubleshooting, patching, deployment assistance, etc.</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A, Defined Terms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confirm that the offeror will not manage any network assets, belonging to the Commonwealth, outside the EDC.</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confirms that the Offeror will not manage any network assets, belonging to the Commonwealth, outside the EDC.</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Would the Commonwealth list any tools or automations in place to update site content and how it avoids the manual process of updates? </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Please clarify the question.  The Commonwealth needs more specifics on what the Questioner means by "site content."   Does "site content" refer to websites, Content Management Systems, or something else?</w:t>
            </w:r>
          </w:p>
        </w:tc>
      </w:tr>
      <w:tr w:rsidR="00961AA2" w:rsidRPr="00496CF4" w:rsidTr="00B3699F">
        <w:trPr>
          <w:cantSplit/>
          <w:trHeight w:val="19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I, Offeror Pricing Forms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N/A</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the event Optional Services (use of Technical Rate Card) requires travel in order to perform the required services, how would the Commonwealth prefer these costs to be recovered?  Is it reasonable to assume that the preferred approach would be to rebill travel expenses if and when required? If this is not acceptable to the Commonwealth, please provide the preferred approach.</w:t>
            </w:r>
          </w:p>
        </w:tc>
        <w:tc>
          <w:tcPr>
            <w:tcW w:w="8010" w:type="dxa"/>
            <w:tcBorders>
              <w:top w:val="nil"/>
              <w:left w:val="nil"/>
              <w:bottom w:val="single" w:sz="4" w:space="0" w:color="auto"/>
              <w:right w:val="single" w:sz="4" w:space="0" w:color="auto"/>
            </w:tcBorders>
            <w:shd w:val="clear" w:color="auto" w:fill="auto"/>
            <w:hideMark/>
          </w:tcPr>
          <w:p w:rsidR="00961AA2" w:rsidRPr="00B3699F" w:rsidRDefault="00961AA2" w:rsidP="00B3699F">
            <w:pPr>
              <w:rPr>
                <w:rFonts w:eastAsia="Times New Roman"/>
                <w:strike/>
                <w:color w:val="FF0000"/>
                <w:sz w:val="18"/>
                <w:szCs w:val="18"/>
              </w:rPr>
            </w:pPr>
            <w:r w:rsidRPr="00B3699F">
              <w:rPr>
                <w:rFonts w:eastAsia="Times New Roman"/>
                <w:strike/>
                <w:color w:val="FF0000"/>
                <w:sz w:val="18"/>
                <w:szCs w:val="18"/>
              </w:rPr>
              <w:t xml:space="preserve">In regard to Optional Services (use of Technical Rate Card), travel costs will be paid in accordance with </w:t>
            </w:r>
            <w:hyperlink r:id="rId8" w:history="1">
              <w:r w:rsidRPr="00B3699F">
                <w:rPr>
                  <w:rStyle w:val="Hyperlink"/>
                  <w:rFonts w:eastAsia="Times New Roman"/>
                  <w:strike/>
                  <w:color w:val="FF0000"/>
                  <w:sz w:val="18"/>
                  <w:szCs w:val="18"/>
                </w:rPr>
                <w:t>Commonwealth Management Directive 230.10</w:t>
              </w:r>
            </w:hyperlink>
            <w:r w:rsidRPr="00B3699F">
              <w:rPr>
                <w:rFonts w:eastAsia="Times New Roman"/>
                <w:strike/>
                <w:color w:val="FF0000"/>
                <w:sz w:val="18"/>
                <w:szCs w:val="18"/>
              </w:rPr>
              <w:t xml:space="preserve">.. </w:t>
            </w:r>
          </w:p>
        </w:tc>
      </w:tr>
      <w:tr w:rsidR="00961AA2" w:rsidRPr="00496CF4" w:rsidTr="00B3699F">
        <w:trPr>
          <w:cantSplit/>
          <w:trHeight w:val="240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33</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G, Staffing Plan and Key Positions</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Sections 2 &amp; 4</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xml:space="preserve"> 3-4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Section 2 of Schedule G has text describing positions and Section 4 has a table of positions.  The 2 sections do not match.  The table does not have 4 of the positions listed in the text (Availability Manager, Sr. Enterprise Infrastructure Architect, Incident Management Manager and Chief Information Security Officer) and it has 2 positions (Sales Manager and Sales Support Technical Engineers) that are not listed in the text.  Can you clarify which Key Personnel are required in the proposal response?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Commonwealth has amended Schedule G as part of Addendum 7.  Please see the revised Schedule G.  Also, Offerors may add additional “Key Personnel” to Schedule G outside of the required list if additional positions are critical to the proposed solution. </w:t>
            </w:r>
          </w:p>
        </w:tc>
      </w:tr>
      <w:tr w:rsidR="00961AA2" w:rsidRPr="00496CF4" w:rsidTr="00B3699F">
        <w:trPr>
          <w:cantSplit/>
          <w:trHeight w:val="144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34</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3.2.4.1</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94</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currently provided EDC application support in Managed Services is in scope of offeror's responsibility? See Q&amp;A Round1, Part 2, #40. What agencies are the services provided for? What services are provided, for how many applications, of what level of complexity?</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All of the applications in Managed Services are in scope.  Agency application lists are provided in Exhibit D.4.  Which applications will be provided by the selected Offeror, and their complexity, will be determined during the discovery process in transition planning.</w:t>
            </w:r>
          </w:p>
        </w:tc>
      </w:tr>
      <w:tr w:rsidR="00961AA2" w:rsidRPr="00496CF4" w:rsidTr="00B3699F">
        <w:trPr>
          <w:cantSplit/>
          <w:trHeight w:val="28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35</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reference to Datacenter Computing Services RFP # 6100022698, we respectfully requests from the Commonwealth of Pennsylvania Office of Administration, Office for Information Technology, a 60 day extension to Wednesday May 8, 2013 at 1:00pm eastern standard time for submitting our sealed proposal response.  Additionally, we respectfully request that OA IT consider providing their position on the extension request to the vendor community ASAP for planning purposes considering the considerable investment necessary to complete a high quality proposal response.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proposal submission date has been extended.  Please refer to Addendum 6 for additional information.</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36</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Schedule F – COPA Datacenter Statement of Work</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3.2.5.5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142</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Please confirm that the Commonwealth will be responsible for maintaining Desktop OS and Office versions at the required levels.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Commonwealth will be responsible for maintaining Desktop OS and Office versions at the required levels.</w:t>
            </w:r>
          </w:p>
        </w:tc>
      </w:tr>
      <w:tr w:rsidR="00961AA2" w:rsidRPr="00496CF4" w:rsidTr="00B3699F">
        <w:trPr>
          <w:cantSplit/>
          <w:trHeight w:val="819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37</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RFP</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In reference to Datacenter Computing Services RFP # 6100022698, we respectfully request from the Commonwealth of Pennsylvania Office of Administration, Office for Information Technology, at a minimum a 90 day extension to Friday July 12, 2013 at 1:00pm eastern standard time for submitting our sealed proposal response.  Additionally, we respectfully request that OA IT consider providing their position on the extension request to the vendor community as soon as possible for planning purposes considering the considerable investment necessary to complete a high quality proposal response.</w:t>
            </w:r>
            <w:r w:rsidRPr="008A1635">
              <w:rPr>
                <w:rFonts w:eastAsia="Times New Roman"/>
                <w:color w:val="000000"/>
                <w:sz w:val="18"/>
                <w:szCs w:val="18"/>
              </w:rPr>
              <w:br/>
            </w:r>
            <w:r w:rsidRPr="008A1635">
              <w:rPr>
                <w:rFonts w:eastAsia="Times New Roman"/>
                <w:color w:val="000000"/>
                <w:sz w:val="18"/>
                <w:szCs w:val="18"/>
              </w:rPr>
              <w:br/>
              <w:t>We are excited about the opportunity to respond to the Commonwealth’s RFP for Data Center Computing Services. Our team is assembled and working through providing the State a response that addresses all facets of the RFP requirements and subsequent Q &amp; A’s.  Our request for the 90 day extension is based on the following:</w:t>
            </w:r>
            <w:r w:rsidRPr="008A1635">
              <w:rPr>
                <w:rFonts w:eastAsia="Times New Roman"/>
                <w:color w:val="000000"/>
                <w:sz w:val="18"/>
                <w:szCs w:val="18"/>
              </w:rPr>
              <w:br/>
            </w:r>
            <w:r w:rsidRPr="008A1635">
              <w:rPr>
                <w:rFonts w:eastAsia="Times New Roman"/>
                <w:color w:val="000000"/>
                <w:sz w:val="18"/>
                <w:szCs w:val="18"/>
              </w:rPr>
              <w:br/>
              <w:t xml:space="preserve">• Finally, we recognize the Commonwealth’s desire for competition which will provide the best outcome for a mutual partnership with the winning vendor/Commonwealth.  With the 90 day extension the Commonwealth has our commitment that we will submit a Prime bid for the RFP with a very compelling solution, efficient pricing model and mutually beneficial small business plan.  </w:t>
            </w:r>
            <w:r w:rsidRPr="008A1635">
              <w:rPr>
                <w:rFonts w:eastAsia="Times New Roman"/>
                <w:color w:val="000000"/>
                <w:sz w:val="18"/>
                <w:szCs w:val="18"/>
              </w:rPr>
              <w:br/>
              <w:t xml:space="preserve">• A significant number of answers to questions asked by bidders in Round 1 are still outstanding, having not yet been posted by the Commonwealth.  The questions asked pertain to items that are critical to providing a compliant, responsive and top quality proposal solution that provides maximum benefit to the Commonwealth.  </w:t>
            </w:r>
            <w:r w:rsidRPr="008A1635">
              <w:rPr>
                <w:rFonts w:eastAsia="Times New Roman"/>
                <w:color w:val="000000"/>
                <w:sz w:val="18"/>
                <w:szCs w:val="18"/>
              </w:rPr>
              <w:br/>
              <w:t>• Answers from Round 2 Questions are still pending.  Additional questions s will most likely arise from feedback on outstanding Round 1 and Round 2 answers.  Finally, we still will have to draft and submit Round 3 questions to the Commonwealth.</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proposal submission date has been extended.  Please refer to Addendum 6 for additional information.</w:t>
            </w:r>
          </w:p>
        </w:tc>
      </w:tr>
      <w:tr w:rsidR="00961AA2" w:rsidRPr="00496CF4" w:rsidTr="00B3699F">
        <w:trPr>
          <w:cantSplit/>
          <w:trHeight w:val="168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38</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Questions and Answers – Round 1 Part 3</w:t>
            </w:r>
            <w:r w:rsidRPr="008A1635">
              <w:rPr>
                <w:rFonts w:eastAsia="Times New Roman"/>
                <w:color w:val="000000"/>
                <w:sz w:val="18"/>
                <w:szCs w:val="18"/>
              </w:rPr>
              <w:br/>
              <w:t>Questions and Answers – Round 1 Part 1</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28</w:t>
            </w:r>
            <w:r w:rsidRPr="008A1635">
              <w:rPr>
                <w:rFonts w:eastAsia="Times New Roman"/>
                <w:color w:val="000000"/>
                <w:sz w:val="18"/>
                <w:szCs w:val="18"/>
              </w:rPr>
              <w:br/>
              <w:t>33</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Answers to these two questions appear to contradict each other. Please indicate whether the EDC must be upgraded to Uptime Institute Tier 3 equivalence in order to be used for any services. If it does not, what are the limits upon its use as a lessor facility?</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 xml:space="preserve">The EDC does not have to be upgraded to Uptime Institute Tier 3 equivalence in order to be used for any services.  Existing services provided by the EDC may remain in the EDC as long as the facility continues to meet the requirements for those services as set forth in the RFP.  New applications may be added to the EDC with Commonwealth approval.   </w:t>
            </w:r>
          </w:p>
        </w:tc>
      </w:tr>
      <w:tr w:rsidR="00961AA2" w:rsidRPr="00496CF4" w:rsidTr="00B3699F">
        <w:trPr>
          <w:cantSplit/>
          <w:trHeight w:val="7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39</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Questions and Answers – Round 1 Part 3</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30</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What represents “desired configurations”? (e.g. those represented on Schedule I “Managed Services”)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desired configuration is the configuration as ordered by the application owner.</w:t>
            </w:r>
          </w:p>
        </w:tc>
      </w:tr>
      <w:tr w:rsidR="00961AA2" w:rsidRPr="00496CF4" w:rsidTr="00B3699F">
        <w:trPr>
          <w:cantSplit/>
          <w:trHeight w:val="192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40</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Questions and Answers – Round 1 Part 3</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74</w:t>
            </w:r>
            <w:r w:rsidRPr="008A1635">
              <w:rPr>
                <w:rFonts w:eastAsia="Times New Roman"/>
                <w:color w:val="000000"/>
                <w:sz w:val="18"/>
                <w:szCs w:val="18"/>
              </w:rPr>
              <w:br/>
              <w:t>93</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answers to these questions appear to be in conflict in a requirement on the Offeror for making sure that required application changes ultimately fall on the Offeror even when the infrastructure meets the SLA requirements. Please clarify the answers. Does the Offeror have any responsibility for applications when an application modification is the means to resolving the issue?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selected Offeror will not be responsible for modifying an application.  The selected Offeror must provide the infrastructure required for the application to operate at the performance levels maintained prior to transition to the Offeror's services.</w:t>
            </w:r>
          </w:p>
        </w:tc>
      </w:tr>
      <w:tr w:rsidR="00961AA2" w:rsidRPr="00496CF4" w:rsidTr="00B3699F">
        <w:trPr>
          <w:cantSplit/>
          <w:trHeight w:val="9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41</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Questions and Answers – Round 1 Part 3</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95</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An arithmetic sum of availability measurements would result in availabilities higher than 100%. Please clarify on what is meant by “sum” of the infrastructure components and provide an example.</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service level calculation is  " = 1 – ((Sum of Minutes the Application is not Available) / ((1440 Minutes Per Day) X (Calendar Days In Month))) expressed as a percentage".   This calculation is based on the Sum of minutes the application is not available, not based on individual components.</w:t>
            </w:r>
          </w:p>
        </w:tc>
      </w:tr>
      <w:tr w:rsidR="00961AA2" w:rsidRPr="00496CF4" w:rsidTr="00B3699F">
        <w:trPr>
          <w:cantSplit/>
          <w:trHeight w:val="2160"/>
        </w:trPr>
        <w:tc>
          <w:tcPr>
            <w:tcW w:w="915" w:type="dxa"/>
            <w:tcBorders>
              <w:top w:val="nil"/>
              <w:left w:val="single" w:sz="4" w:space="0" w:color="auto"/>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42</w:t>
            </w:r>
          </w:p>
        </w:tc>
        <w:tc>
          <w:tcPr>
            <w:tcW w:w="117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General Question</w:t>
            </w:r>
          </w:p>
        </w:tc>
        <w:tc>
          <w:tcPr>
            <w:tcW w:w="108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63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 </w:t>
            </w:r>
          </w:p>
        </w:tc>
        <w:tc>
          <w:tcPr>
            <w:tcW w:w="585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color w:val="000000"/>
                <w:sz w:val="18"/>
                <w:szCs w:val="18"/>
              </w:rPr>
            </w:pPr>
            <w:r w:rsidRPr="008A1635">
              <w:rPr>
                <w:rFonts w:eastAsia="Times New Roman"/>
                <w:color w:val="000000"/>
                <w:sz w:val="18"/>
                <w:szCs w:val="18"/>
              </w:rPr>
              <w:t>The Appendix-F, Non-Disclosure Agreement HPES has signed limits our ability to share the confidential exhibits provided to HPES.  We want to ensure we limit the administrative burden put on the Commonwealth.  We would like to share the additional confidential exhibits with some of our Teaming Partners.   Could you please provide us guidance on how we should proceed in providing certain Teaming Partners the confidential exhibits?</w:t>
            </w:r>
          </w:p>
        </w:tc>
        <w:tc>
          <w:tcPr>
            <w:tcW w:w="8010" w:type="dxa"/>
            <w:tcBorders>
              <w:top w:val="nil"/>
              <w:left w:val="nil"/>
              <w:bottom w:val="single" w:sz="4" w:space="0" w:color="auto"/>
              <w:right w:val="single" w:sz="4" w:space="0" w:color="auto"/>
            </w:tcBorders>
            <w:shd w:val="clear" w:color="auto" w:fill="auto"/>
            <w:hideMark/>
          </w:tcPr>
          <w:p w:rsidR="00961AA2" w:rsidRPr="008A1635" w:rsidRDefault="00961AA2" w:rsidP="00B3699F">
            <w:pPr>
              <w:rPr>
                <w:rFonts w:eastAsia="Times New Roman"/>
                <w:sz w:val="18"/>
                <w:szCs w:val="18"/>
              </w:rPr>
            </w:pPr>
            <w:r w:rsidRPr="008A1635">
              <w:rPr>
                <w:rFonts w:eastAsia="Times New Roman"/>
                <w:sz w:val="18"/>
                <w:szCs w:val="18"/>
              </w:rPr>
              <w:t>The confidential exhibits may be shared with teaming partners once the teaming partners have signed Appendix-F, Non-Disclosure Agreement.  The teaming partners may email a scanned image of the signed Non-Disclosure Agreement to Sheryl Kimport, the Issuing Officer, at RA-OITPurchases@state.pa.us.</w:t>
            </w:r>
          </w:p>
        </w:tc>
      </w:tr>
    </w:tbl>
    <w:p w:rsidR="00961AA2" w:rsidRDefault="00961AA2">
      <w:pPr>
        <w:rPr>
          <w:b/>
          <w:i/>
        </w:rPr>
      </w:pPr>
    </w:p>
    <w:p w:rsidR="00961AA2" w:rsidRDefault="00961AA2">
      <w:pPr>
        <w:rPr>
          <w:b/>
          <w:i/>
        </w:rPr>
      </w:pPr>
    </w:p>
    <w:p w:rsidR="00961AA2" w:rsidRDefault="00961AA2" w:rsidP="00003895">
      <w:pPr>
        <w:pStyle w:val="NoSpacing"/>
        <w:rPr>
          <w:rFonts w:ascii="Times New Roman" w:hAnsi="Times New Roman"/>
          <w:color w:val="000000" w:themeColor="text1"/>
          <w:sz w:val="18"/>
          <w:szCs w:val="18"/>
        </w:rPr>
      </w:pPr>
    </w:p>
    <w:p w:rsidR="00961AA2" w:rsidRDefault="00961AA2">
      <w:pPr>
        <w:rPr>
          <w:b/>
          <w:i/>
        </w:rPr>
      </w:pPr>
      <w:r>
        <w:rPr>
          <w:b/>
          <w:i/>
        </w:rPr>
        <w:br w:type="page"/>
      </w:r>
    </w:p>
    <w:p w:rsidR="006C60D0" w:rsidRPr="001C2B15" w:rsidRDefault="00B51132">
      <w:pPr>
        <w:rPr>
          <w:b/>
          <w:i/>
        </w:rPr>
      </w:pPr>
      <w:r>
        <w:rPr>
          <w:b/>
          <w:i/>
        </w:rPr>
        <w:t>Addendum 15</w:t>
      </w:r>
      <w:r w:rsidR="006C60D0">
        <w:rPr>
          <w:b/>
          <w:i/>
        </w:rPr>
        <w:t xml:space="preserve"> – New and Revised Answers</w:t>
      </w:r>
    </w:p>
    <w:p w:rsidR="00287834" w:rsidRDefault="00287834" w:rsidP="00003895">
      <w:pPr>
        <w:pStyle w:val="NoSpacing"/>
        <w:rPr>
          <w:rFonts w:ascii="Times New Roman" w:hAnsi="Times New Roman"/>
          <w:color w:val="000000" w:themeColor="text1"/>
          <w:sz w:val="18"/>
          <w:szCs w:val="18"/>
        </w:rPr>
      </w:pPr>
    </w:p>
    <w:p w:rsidR="009C60D5" w:rsidRDefault="009C60D5" w:rsidP="009C60D5">
      <w:pPr>
        <w:rPr>
          <w:b/>
          <w:i/>
        </w:rPr>
      </w:pPr>
      <w:r>
        <w:rPr>
          <w:b/>
          <w:i/>
        </w:rPr>
        <w:t>Revised Answers</w:t>
      </w:r>
    </w:p>
    <w:tbl>
      <w:tblPr>
        <w:tblW w:w="146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14685"/>
      </w:tblGrid>
      <w:tr w:rsidR="00AD2EEF" w:rsidRPr="00B476A5" w:rsidTr="00182FE3">
        <w:trPr>
          <w:trHeight w:val="240"/>
        </w:trPr>
        <w:tc>
          <w:tcPr>
            <w:tcW w:w="1468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AD2EEF" w:rsidRPr="00B476A5" w:rsidRDefault="00AD2EEF" w:rsidP="00182FE3">
            <w:pPr>
              <w:rPr>
                <w:rFonts w:eastAsia="Times New Roman"/>
                <w:bCs/>
                <w:color w:val="000000" w:themeColor="text1"/>
                <w:sz w:val="18"/>
                <w:szCs w:val="18"/>
              </w:rPr>
            </w:pPr>
            <w:r>
              <w:rPr>
                <w:rFonts w:eastAsia="Times New Roman"/>
                <w:bCs/>
                <w:color w:val="000000" w:themeColor="text1"/>
                <w:sz w:val="18"/>
                <w:szCs w:val="18"/>
              </w:rPr>
              <w:t>Revision for all previously posted answers</w:t>
            </w:r>
          </w:p>
        </w:tc>
      </w:tr>
      <w:tr w:rsidR="00AD2EEF" w:rsidRPr="009E4812" w:rsidTr="00182FE3">
        <w:trPr>
          <w:trHeight w:val="240"/>
        </w:trPr>
        <w:tc>
          <w:tcPr>
            <w:tcW w:w="14685" w:type="dxa"/>
            <w:shd w:val="clear" w:color="auto" w:fill="FFFFFF"/>
            <w:vAlign w:val="center"/>
            <w:hideMark/>
          </w:tcPr>
          <w:p w:rsidR="00AD2EEF" w:rsidRPr="00AD2EEF" w:rsidRDefault="00AD2EEF" w:rsidP="00182FE3">
            <w:pPr>
              <w:rPr>
                <w:rFonts w:eastAsia="Times New Roman"/>
                <w:b/>
                <w:bCs/>
                <w:sz w:val="18"/>
                <w:szCs w:val="18"/>
              </w:rPr>
            </w:pPr>
            <w:r>
              <w:rPr>
                <w:rFonts w:eastAsia="Times New Roman"/>
                <w:b/>
                <w:bCs/>
                <w:sz w:val="18"/>
                <w:szCs w:val="18"/>
              </w:rPr>
              <w:t>Revision</w:t>
            </w:r>
            <w:r w:rsidRPr="00C931D0">
              <w:rPr>
                <w:rFonts w:eastAsia="Times New Roman"/>
                <w:b/>
                <w:bCs/>
                <w:sz w:val="18"/>
                <w:szCs w:val="18"/>
              </w:rPr>
              <w:t>:</w:t>
            </w:r>
          </w:p>
          <w:p w:rsidR="00AD2EEF" w:rsidRPr="009E4812" w:rsidRDefault="00AD2EEF" w:rsidP="00182FE3">
            <w:pPr>
              <w:rPr>
                <w:rFonts w:eastAsia="Times New Roman"/>
                <w:bCs/>
                <w:sz w:val="18"/>
                <w:szCs w:val="18"/>
              </w:rPr>
            </w:pPr>
            <w:r>
              <w:rPr>
                <w:rFonts w:eastAsia="Times New Roman"/>
                <w:bCs/>
                <w:sz w:val="18"/>
                <w:szCs w:val="18"/>
              </w:rPr>
              <w:t xml:space="preserve">All references to the Commonwealth’s Remedy system should reference the </w:t>
            </w:r>
            <w:r w:rsidRPr="00AD2EEF">
              <w:rPr>
                <w:rFonts w:eastAsia="Times New Roman"/>
                <w:bCs/>
                <w:sz w:val="18"/>
                <w:szCs w:val="18"/>
              </w:rPr>
              <w:t>Commonwealth’s ITSM system (currently Remedy)</w:t>
            </w:r>
            <w:r>
              <w:rPr>
                <w:rFonts w:eastAsia="Times New Roman"/>
                <w:bCs/>
                <w:sz w:val="18"/>
                <w:szCs w:val="18"/>
              </w:rPr>
              <w:t>.</w:t>
            </w:r>
          </w:p>
        </w:tc>
      </w:tr>
    </w:tbl>
    <w:p w:rsidR="00AD2EEF" w:rsidRDefault="00AD2EEF" w:rsidP="009C60D5">
      <w:pPr>
        <w:rPr>
          <w:b/>
          <w:i/>
        </w:rPr>
      </w:pPr>
    </w:p>
    <w:p w:rsidR="00AD2EEF" w:rsidRPr="001C2B15" w:rsidRDefault="00AD2EEF" w:rsidP="009C60D5">
      <w:pPr>
        <w:rPr>
          <w:b/>
          <w:i/>
        </w:rPr>
      </w:pPr>
    </w:p>
    <w:p w:rsidR="0087666A" w:rsidRDefault="0087666A" w:rsidP="0087666A">
      <w:pPr>
        <w:rPr>
          <w:sz w:val="18"/>
          <w:szCs w:val="18"/>
        </w:rPr>
      </w:pPr>
      <w:r w:rsidRPr="000F7948">
        <w:rPr>
          <w:color w:val="000000" w:themeColor="text1"/>
          <w:sz w:val="18"/>
          <w:szCs w:val="18"/>
        </w:rPr>
        <w:t>Revised (original answer</w:t>
      </w:r>
      <w:r w:rsidR="00B476A5">
        <w:rPr>
          <w:color w:val="000000" w:themeColor="text1"/>
          <w:sz w:val="18"/>
          <w:szCs w:val="18"/>
        </w:rPr>
        <w:t>s</w:t>
      </w:r>
      <w:r w:rsidRPr="000F7948">
        <w:rPr>
          <w:color w:val="000000" w:themeColor="text1"/>
          <w:sz w:val="18"/>
          <w:szCs w:val="18"/>
        </w:rPr>
        <w:t xml:space="preserve"> posted as </w:t>
      </w:r>
      <w:r w:rsidRPr="000F7948">
        <w:rPr>
          <w:sz w:val="18"/>
          <w:szCs w:val="18"/>
        </w:rPr>
        <w:t>Addendum 8 - Round 1, Part 4)</w:t>
      </w:r>
    </w:p>
    <w:tbl>
      <w:tblPr>
        <w:tblW w:w="146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893"/>
        <w:gridCol w:w="1436"/>
        <w:gridCol w:w="1456"/>
        <w:gridCol w:w="984"/>
        <w:gridCol w:w="3754"/>
        <w:gridCol w:w="6162"/>
      </w:tblGrid>
      <w:tr w:rsidR="00B476A5" w:rsidRPr="001A443A" w:rsidTr="00B476A5">
        <w:trPr>
          <w:trHeight w:val="240"/>
        </w:trPr>
        <w:tc>
          <w:tcPr>
            <w:tcW w:w="893"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sz w:val="18"/>
                <w:szCs w:val="18"/>
              </w:rPr>
            </w:pPr>
          </w:p>
        </w:tc>
        <w:tc>
          <w:tcPr>
            <w:tcW w:w="143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sz w:val="18"/>
                <w:szCs w:val="18"/>
              </w:rPr>
            </w:pPr>
            <w:r w:rsidRPr="00B476A5">
              <w:rPr>
                <w:rFonts w:eastAsia="Times New Roman"/>
                <w:bCs/>
                <w:color w:val="000000"/>
                <w:sz w:val="18"/>
                <w:szCs w:val="18"/>
              </w:rPr>
              <w:t>Doc</w:t>
            </w:r>
          </w:p>
        </w:tc>
        <w:tc>
          <w:tcPr>
            <w:tcW w:w="1456"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sz w:val="18"/>
                <w:szCs w:val="18"/>
              </w:rPr>
            </w:pPr>
            <w:r w:rsidRPr="00B476A5">
              <w:rPr>
                <w:rFonts w:eastAsia="Times New Roman"/>
                <w:bCs/>
                <w:color w:val="000000"/>
                <w:sz w:val="18"/>
                <w:szCs w:val="18"/>
              </w:rPr>
              <w:t>Sec</w:t>
            </w:r>
          </w:p>
        </w:tc>
        <w:tc>
          <w:tcPr>
            <w:tcW w:w="984"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sz w:val="18"/>
                <w:szCs w:val="18"/>
              </w:rPr>
            </w:pPr>
            <w:r w:rsidRPr="00B476A5">
              <w:rPr>
                <w:rFonts w:eastAsia="Times New Roman"/>
                <w:bCs/>
                <w:color w:val="000000"/>
                <w:sz w:val="18"/>
                <w:szCs w:val="18"/>
              </w:rPr>
              <w:t>Pg</w:t>
            </w:r>
          </w:p>
        </w:tc>
        <w:tc>
          <w:tcPr>
            <w:tcW w:w="3754"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sz w:val="18"/>
                <w:szCs w:val="18"/>
              </w:rPr>
            </w:pPr>
            <w:r w:rsidRPr="00B476A5">
              <w:rPr>
                <w:rFonts w:eastAsia="Times New Roman"/>
                <w:bCs/>
                <w:color w:val="000000"/>
                <w:sz w:val="18"/>
                <w:szCs w:val="18"/>
              </w:rPr>
              <w:t>Question</w:t>
            </w:r>
          </w:p>
        </w:tc>
        <w:tc>
          <w:tcPr>
            <w:tcW w:w="616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B476A5" w:rsidRDefault="00B476A5" w:rsidP="00B476A5">
            <w:pPr>
              <w:rPr>
                <w:rFonts w:eastAsia="Times New Roman"/>
                <w:bCs/>
                <w:color w:val="000000" w:themeColor="text1"/>
                <w:sz w:val="18"/>
                <w:szCs w:val="18"/>
              </w:rPr>
            </w:pPr>
            <w:r w:rsidRPr="00B476A5">
              <w:rPr>
                <w:rFonts w:eastAsia="Times New Roman"/>
                <w:bCs/>
                <w:color w:val="000000" w:themeColor="text1"/>
                <w:sz w:val="18"/>
                <w:szCs w:val="18"/>
              </w:rPr>
              <w:t>Answer</w:t>
            </w:r>
          </w:p>
        </w:tc>
      </w:tr>
      <w:tr w:rsidR="0087666A" w:rsidRPr="009E4812" w:rsidTr="0087666A">
        <w:trPr>
          <w:trHeight w:val="240"/>
        </w:trPr>
        <w:tc>
          <w:tcPr>
            <w:tcW w:w="893"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52</w:t>
            </w:r>
          </w:p>
        </w:tc>
        <w:tc>
          <w:tcPr>
            <w:tcW w:w="1436"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Exhibit B.1  PSP Tab</w:t>
            </w:r>
          </w:p>
        </w:tc>
        <w:tc>
          <w:tcPr>
            <w:tcW w:w="1456"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 </w:t>
            </w:r>
          </w:p>
        </w:tc>
        <w:tc>
          <w:tcPr>
            <w:tcW w:w="984"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 </w:t>
            </w:r>
          </w:p>
        </w:tc>
        <w:tc>
          <w:tcPr>
            <w:tcW w:w="3754" w:type="dxa"/>
            <w:shd w:val="clear" w:color="auto" w:fill="FFFFFF"/>
            <w:vAlign w:val="center"/>
            <w:hideMark/>
          </w:tcPr>
          <w:p w:rsidR="0087666A" w:rsidRPr="009E4812" w:rsidRDefault="0087666A" w:rsidP="0087666A">
            <w:pPr>
              <w:rPr>
                <w:rFonts w:eastAsia="Times New Roman"/>
                <w:bCs/>
                <w:color w:val="000000"/>
                <w:sz w:val="18"/>
                <w:szCs w:val="18"/>
              </w:rPr>
            </w:pPr>
            <w:r w:rsidRPr="009E4812">
              <w:rPr>
                <w:rFonts w:eastAsia="Times New Roman"/>
                <w:bCs/>
                <w:color w:val="000000"/>
                <w:sz w:val="18"/>
                <w:szCs w:val="18"/>
              </w:rPr>
              <w:t>For the two PSP partitions, can you verify the quantity, type and speed of disk interfaces?</w:t>
            </w:r>
          </w:p>
        </w:tc>
        <w:tc>
          <w:tcPr>
            <w:tcW w:w="6162" w:type="dxa"/>
            <w:shd w:val="clear" w:color="auto" w:fill="FFFFFF"/>
            <w:vAlign w:val="center"/>
            <w:hideMark/>
          </w:tcPr>
          <w:p w:rsidR="0087666A" w:rsidRPr="0087666A" w:rsidRDefault="0087666A" w:rsidP="0087666A">
            <w:pPr>
              <w:rPr>
                <w:rFonts w:eastAsia="Times New Roman"/>
                <w:bCs/>
                <w:strike/>
                <w:color w:val="FF0000"/>
                <w:sz w:val="18"/>
                <w:szCs w:val="18"/>
              </w:rPr>
            </w:pPr>
            <w:r w:rsidRPr="0087666A">
              <w:rPr>
                <w:rFonts w:eastAsia="Times New Roman"/>
                <w:bCs/>
                <w:strike/>
                <w:color w:val="FF0000"/>
                <w:sz w:val="18"/>
                <w:szCs w:val="18"/>
              </w:rPr>
              <w:t>The current configuration is:</w:t>
            </w:r>
            <w:r w:rsidRPr="0087666A">
              <w:rPr>
                <w:rFonts w:eastAsia="Times New Roman"/>
                <w:bCs/>
                <w:strike/>
                <w:color w:val="FF0000"/>
                <w:sz w:val="18"/>
                <w:szCs w:val="18"/>
              </w:rPr>
              <w:br/>
              <w:t xml:space="preserve"> </w:t>
            </w:r>
            <w:r w:rsidRPr="0087666A">
              <w:rPr>
                <w:rFonts w:eastAsia="Times New Roman"/>
                <w:bCs/>
                <w:strike/>
                <w:color w:val="FF0000"/>
                <w:sz w:val="18"/>
                <w:szCs w:val="18"/>
              </w:rPr>
              <w:br/>
              <w:t>PSP Production:       6 – 9840C drives</w:t>
            </w:r>
            <w:r w:rsidRPr="0087666A">
              <w:rPr>
                <w:rFonts w:eastAsia="Times New Roman"/>
                <w:bCs/>
                <w:strike/>
                <w:color w:val="FF0000"/>
                <w:sz w:val="18"/>
                <w:szCs w:val="18"/>
              </w:rPr>
              <w:br/>
              <w:t xml:space="preserve">                                4 – 36 track drives (5236)</w:t>
            </w:r>
            <w:r w:rsidRPr="0087666A">
              <w:rPr>
                <w:rFonts w:eastAsia="Times New Roman"/>
                <w:bCs/>
                <w:strike/>
                <w:color w:val="FF0000"/>
                <w:sz w:val="18"/>
                <w:szCs w:val="18"/>
              </w:rPr>
              <w:br/>
              <w:t>PSP Development:  6 – 9840C drives</w:t>
            </w:r>
            <w:r w:rsidRPr="0087666A">
              <w:rPr>
                <w:rFonts w:eastAsia="Times New Roman"/>
                <w:bCs/>
                <w:strike/>
                <w:color w:val="FF0000"/>
                <w:sz w:val="18"/>
                <w:szCs w:val="18"/>
              </w:rPr>
              <w:br/>
              <w:t xml:space="preserve">                                4 – 36 track drives (5236)</w:t>
            </w:r>
            <w:r w:rsidRPr="0087666A">
              <w:rPr>
                <w:rFonts w:eastAsia="Times New Roman"/>
                <w:bCs/>
                <w:strike/>
                <w:color w:val="FF0000"/>
                <w:sz w:val="18"/>
                <w:szCs w:val="18"/>
              </w:rPr>
              <w:br/>
            </w:r>
            <w:r w:rsidRPr="0087666A">
              <w:rPr>
                <w:rFonts w:eastAsia="Times New Roman"/>
                <w:bCs/>
                <w:strike/>
                <w:color w:val="FF0000"/>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p w:rsidR="0087666A" w:rsidRDefault="0087666A" w:rsidP="0087666A">
            <w:pPr>
              <w:rPr>
                <w:rFonts w:eastAsia="Times New Roman"/>
                <w:bCs/>
                <w:sz w:val="18"/>
                <w:szCs w:val="18"/>
              </w:rPr>
            </w:pPr>
          </w:p>
          <w:p w:rsidR="00C931D0" w:rsidRPr="00C931D0" w:rsidRDefault="00C931D0" w:rsidP="0087666A">
            <w:pPr>
              <w:rPr>
                <w:rFonts w:eastAsia="Times New Roman"/>
                <w:b/>
                <w:bCs/>
                <w:sz w:val="18"/>
                <w:szCs w:val="18"/>
              </w:rPr>
            </w:pPr>
            <w:r w:rsidRPr="00C931D0">
              <w:rPr>
                <w:rFonts w:eastAsia="Times New Roman"/>
                <w:b/>
                <w:bCs/>
                <w:sz w:val="18"/>
                <w:szCs w:val="18"/>
              </w:rPr>
              <w:t>Revised Answer:</w:t>
            </w:r>
          </w:p>
          <w:p w:rsidR="0087666A" w:rsidRPr="0087666A" w:rsidRDefault="0087666A" w:rsidP="0087666A">
            <w:pPr>
              <w:rPr>
                <w:rFonts w:eastAsia="Times New Roman"/>
                <w:bCs/>
                <w:sz w:val="18"/>
                <w:szCs w:val="18"/>
              </w:rPr>
            </w:pPr>
            <w:r w:rsidRPr="0087666A">
              <w:rPr>
                <w:rFonts w:eastAsia="Times New Roman"/>
                <w:bCs/>
                <w:sz w:val="18"/>
                <w:szCs w:val="18"/>
              </w:rPr>
              <w:t>The current configuration is:</w:t>
            </w:r>
          </w:p>
          <w:p w:rsidR="0087666A" w:rsidRPr="0087666A" w:rsidRDefault="0087666A" w:rsidP="0087666A">
            <w:pPr>
              <w:rPr>
                <w:rFonts w:eastAsia="Times New Roman"/>
                <w:bCs/>
                <w:sz w:val="18"/>
                <w:szCs w:val="18"/>
              </w:rPr>
            </w:pPr>
          </w:p>
          <w:p w:rsidR="0087666A" w:rsidRPr="0087666A" w:rsidRDefault="0087666A" w:rsidP="0087666A">
            <w:pPr>
              <w:rPr>
                <w:rFonts w:eastAsia="Times New Roman"/>
                <w:bCs/>
                <w:sz w:val="18"/>
                <w:szCs w:val="18"/>
              </w:rPr>
            </w:pPr>
            <w:r w:rsidRPr="0087666A">
              <w:rPr>
                <w:rFonts w:eastAsia="Times New Roman"/>
                <w:bCs/>
                <w:sz w:val="18"/>
                <w:szCs w:val="18"/>
              </w:rPr>
              <w:t>* PSP Production:          4 – Fibre PCI Cards SIOP Interfaces – speed 2 Gb</w:t>
            </w:r>
          </w:p>
          <w:p w:rsidR="0087666A" w:rsidRPr="0087666A" w:rsidRDefault="0087666A" w:rsidP="0087666A">
            <w:pPr>
              <w:rPr>
                <w:rFonts w:eastAsia="Times New Roman"/>
                <w:bCs/>
                <w:sz w:val="18"/>
                <w:szCs w:val="18"/>
              </w:rPr>
            </w:pPr>
          </w:p>
          <w:p w:rsidR="0087666A" w:rsidRPr="0087666A" w:rsidRDefault="0087666A" w:rsidP="0087666A">
            <w:pPr>
              <w:rPr>
                <w:rFonts w:eastAsia="Times New Roman"/>
                <w:bCs/>
                <w:sz w:val="18"/>
                <w:szCs w:val="18"/>
              </w:rPr>
            </w:pPr>
            <w:r w:rsidRPr="0087666A">
              <w:rPr>
                <w:rFonts w:eastAsia="Times New Roman"/>
                <w:bCs/>
                <w:sz w:val="18"/>
                <w:szCs w:val="18"/>
              </w:rPr>
              <w:t>* PSP Development:      4 – Fibre PCI Cards SIOP Interfaces – speed  2 Gb</w:t>
            </w:r>
          </w:p>
          <w:p w:rsidR="0087666A" w:rsidRPr="0087666A" w:rsidRDefault="0087666A" w:rsidP="0087666A">
            <w:pPr>
              <w:rPr>
                <w:rFonts w:eastAsia="Times New Roman"/>
                <w:bCs/>
                <w:sz w:val="18"/>
                <w:szCs w:val="18"/>
              </w:rPr>
            </w:pPr>
          </w:p>
          <w:p w:rsidR="0087666A" w:rsidRPr="009E4812" w:rsidRDefault="0087666A" w:rsidP="0087666A">
            <w:pPr>
              <w:rPr>
                <w:rFonts w:eastAsia="Times New Roman"/>
                <w:bCs/>
                <w:sz w:val="18"/>
                <w:szCs w:val="18"/>
              </w:rPr>
            </w:pPr>
            <w:r w:rsidRPr="0087666A">
              <w:rPr>
                <w:rFonts w:eastAsia="Times New Roman"/>
                <w:bCs/>
                <w:sz w:val="18"/>
                <w:szCs w:val="18"/>
              </w:rPr>
              <w:t>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w:t>
            </w:r>
          </w:p>
        </w:tc>
      </w:tr>
      <w:tr w:rsidR="0087666A" w:rsidRPr="009E4812" w:rsidTr="0087666A">
        <w:trPr>
          <w:trHeight w:val="240"/>
        </w:trPr>
        <w:tc>
          <w:tcPr>
            <w:tcW w:w="893"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53</w:t>
            </w:r>
          </w:p>
        </w:tc>
        <w:tc>
          <w:tcPr>
            <w:tcW w:w="1436"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Exhibit B.1  PSP Tab</w:t>
            </w:r>
          </w:p>
        </w:tc>
        <w:tc>
          <w:tcPr>
            <w:tcW w:w="1456"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 </w:t>
            </w:r>
          </w:p>
        </w:tc>
        <w:tc>
          <w:tcPr>
            <w:tcW w:w="984" w:type="dxa"/>
            <w:shd w:val="clear" w:color="auto" w:fill="FFFFFF"/>
            <w:vAlign w:val="center"/>
            <w:hideMark/>
          </w:tcPr>
          <w:p w:rsidR="0087666A" w:rsidRPr="009E4812" w:rsidRDefault="0087666A" w:rsidP="0087666A">
            <w:pPr>
              <w:jc w:val="center"/>
              <w:rPr>
                <w:rFonts w:eastAsia="Times New Roman"/>
                <w:bCs/>
                <w:color w:val="000000"/>
                <w:sz w:val="18"/>
                <w:szCs w:val="18"/>
              </w:rPr>
            </w:pPr>
            <w:r w:rsidRPr="009E4812">
              <w:rPr>
                <w:rFonts w:eastAsia="Times New Roman"/>
                <w:bCs/>
                <w:color w:val="000000"/>
                <w:sz w:val="18"/>
                <w:szCs w:val="18"/>
              </w:rPr>
              <w:t> </w:t>
            </w:r>
          </w:p>
        </w:tc>
        <w:tc>
          <w:tcPr>
            <w:tcW w:w="3754" w:type="dxa"/>
            <w:shd w:val="clear" w:color="auto" w:fill="FFFFFF"/>
            <w:vAlign w:val="center"/>
            <w:hideMark/>
          </w:tcPr>
          <w:p w:rsidR="0087666A" w:rsidRPr="009E4812" w:rsidRDefault="0087666A" w:rsidP="0087666A">
            <w:pPr>
              <w:rPr>
                <w:rFonts w:eastAsia="Times New Roman"/>
                <w:bCs/>
                <w:color w:val="000000"/>
                <w:sz w:val="18"/>
                <w:szCs w:val="18"/>
              </w:rPr>
            </w:pPr>
            <w:r w:rsidRPr="009E4812">
              <w:rPr>
                <w:rFonts w:eastAsia="Times New Roman"/>
                <w:bCs/>
                <w:color w:val="000000"/>
                <w:sz w:val="18"/>
                <w:szCs w:val="18"/>
              </w:rPr>
              <w:t>For the two PSP partitions, can you verify the quantity and type of tape drives required?</w:t>
            </w:r>
          </w:p>
        </w:tc>
        <w:tc>
          <w:tcPr>
            <w:tcW w:w="6162" w:type="dxa"/>
            <w:shd w:val="clear" w:color="auto" w:fill="FFFFFF"/>
            <w:vAlign w:val="center"/>
            <w:hideMark/>
          </w:tcPr>
          <w:p w:rsidR="0087666A" w:rsidRDefault="0087666A" w:rsidP="0087666A">
            <w:pPr>
              <w:rPr>
                <w:rFonts w:eastAsia="Times New Roman"/>
                <w:bCs/>
                <w:strike/>
                <w:color w:val="FF0000"/>
                <w:sz w:val="18"/>
                <w:szCs w:val="18"/>
              </w:rPr>
            </w:pPr>
            <w:r w:rsidRPr="0087666A">
              <w:rPr>
                <w:rFonts w:eastAsia="Times New Roman"/>
                <w:bCs/>
                <w:strike/>
                <w:color w:val="FF0000"/>
                <w:sz w:val="18"/>
                <w:szCs w:val="18"/>
              </w:rPr>
              <w:t>The current configuration is:</w:t>
            </w:r>
            <w:r w:rsidRPr="0087666A">
              <w:rPr>
                <w:rFonts w:eastAsia="Times New Roman"/>
                <w:bCs/>
                <w:strike/>
                <w:color w:val="FF0000"/>
                <w:sz w:val="18"/>
                <w:szCs w:val="18"/>
              </w:rPr>
              <w:br/>
            </w:r>
            <w:r w:rsidRPr="0087666A">
              <w:rPr>
                <w:rFonts w:eastAsia="Times New Roman"/>
                <w:bCs/>
                <w:strike/>
                <w:color w:val="FF0000"/>
                <w:sz w:val="18"/>
                <w:szCs w:val="18"/>
              </w:rPr>
              <w:br/>
              <w:t>* PSP Production:          4 – Fibre PCI Cards SIOP Interfaces – speed 2 Gb</w:t>
            </w:r>
            <w:r w:rsidRPr="0087666A">
              <w:rPr>
                <w:rFonts w:eastAsia="Times New Roman"/>
                <w:bCs/>
                <w:strike/>
                <w:color w:val="FF0000"/>
                <w:sz w:val="18"/>
                <w:szCs w:val="18"/>
              </w:rPr>
              <w:br/>
            </w:r>
            <w:r w:rsidRPr="0087666A">
              <w:rPr>
                <w:rFonts w:eastAsia="Times New Roman"/>
                <w:bCs/>
                <w:strike/>
                <w:color w:val="FF0000"/>
                <w:sz w:val="18"/>
                <w:szCs w:val="18"/>
              </w:rPr>
              <w:br/>
              <w:t>* PSP Development:      4 – Fibre PCI Cards SIOP Interfaces – speed  2 Gb</w:t>
            </w:r>
            <w:r w:rsidRPr="0087666A">
              <w:rPr>
                <w:rFonts w:eastAsia="Times New Roman"/>
                <w:bCs/>
                <w:strike/>
                <w:color w:val="FF0000"/>
                <w:sz w:val="18"/>
                <w:szCs w:val="18"/>
              </w:rPr>
              <w:br/>
            </w:r>
            <w:r w:rsidRPr="0087666A">
              <w:rPr>
                <w:rFonts w:eastAsia="Times New Roman"/>
                <w:bCs/>
                <w:strike/>
                <w:color w:val="FF0000"/>
                <w:sz w:val="18"/>
                <w:szCs w:val="18"/>
              </w:rPr>
              <w:br/>
              <w:t xml:space="preserve">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 </w:t>
            </w:r>
          </w:p>
          <w:p w:rsidR="00C931D0" w:rsidRPr="0087666A" w:rsidRDefault="00C931D0" w:rsidP="0087666A">
            <w:pPr>
              <w:rPr>
                <w:rFonts w:eastAsia="Times New Roman"/>
                <w:bCs/>
                <w:strike/>
                <w:color w:val="FF0000"/>
                <w:sz w:val="18"/>
                <w:szCs w:val="18"/>
              </w:rPr>
            </w:pPr>
          </w:p>
          <w:p w:rsidR="00C931D0" w:rsidRPr="00C931D0" w:rsidRDefault="00C931D0" w:rsidP="00C931D0">
            <w:pPr>
              <w:rPr>
                <w:rFonts w:eastAsia="Times New Roman"/>
                <w:b/>
                <w:bCs/>
                <w:sz w:val="18"/>
                <w:szCs w:val="18"/>
              </w:rPr>
            </w:pPr>
            <w:r w:rsidRPr="00C931D0">
              <w:rPr>
                <w:rFonts w:eastAsia="Times New Roman"/>
                <w:b/>
                <w:bCs/>
                <w:sz w:val="18"/>
                <w:szCs w:val="18"/>
              </w:rPr>
              <w:t>Revised Answer:</w:t>
            </w:r>
          </w:p>
          <w:p w:rsidR="0087666A" w:rsidRPr="0087666A" w:rsidRDefault="0087666A" w:rsidP="0087666A">
            <w:pPr>
              <w:rPr>
                <w:rFonts w:eastAsia="Times New Roman"/>
                <w:bCs/>
                <w:sz w:val="18"/>
                <w:szCs w:val="18"/>
              </w:rPr>
            </w:pPr>
            <w:r w:rsidRPr="0087666A">
              <w:rPr>
                <w:rFonts w:eastAsia="Times New Roman"/>
                <w:bCs/>
                <w:sz w:val="18"/>
                <w:szCs w:val="18"/>
              </w:rPr>
              <w:t>The current configuration is:</w:t>
            </w:r>
          </w:p>
          <w:p w:rsidR="0087666A" w:rsidRPr="0087666A" w:rsidRDefault="0087666A" w:rsidP="0087666A">
            <w:pPr>
              <w:rPr>
                <w:rFonts w:eastAsia="Times New Roman"/>
                <w:bCs/>
                <w:sz w:val="18"/>
                <w:szCs w:val="18"/>
              </w:rPr>
            </w:pPr>
            <w:r w:rsidRPr="0087666A">
              <w:rPr>
                <w:rFonts w:eastAsia="Times New Roman"/>
                <w:bCs/>
                <w:sz w:val="18"/>
                <w:szCs w:val="18"/>
              </w:rPr>
              <w:t xml:space="preserve"> </w:t>
            </w:r>
          </w:p>
          <w:p w:rsidR="0087666A" w:rsidRPr="0087666A" w:rsidRDefault="0087666A" w:rsidP="0087666A">
            <w:pPr>
              <w:rPr>
                <w:rFonts w:eastAsia="Times New Roman"/>
                <w:bCs/>
                <w:sz w:val="18"/>
                <w:szCs w:val="18"/>
              </w:rPr>
            </w:pPr>
            <w:r w:rsidRPr="0087666A">
              <w:rPr>
                <w:rFonts w:eastAsia="Times New Roman"/>
                <w:bCs/>
                <w:sz w:val="18"/>
                <w:szCs w:val="18"/>
              </w:rPr>
              <w:t>PSP Production:       6 – 9840C drives</w:t>
            </w:r>
          </w:p>
          <w:p w:rsidR="0087666A" w:rsidRPr="0087666A" w:rsidRDefault="0087666A" w:rsidP="0087666A">
            <w:pPr>
              <w:rPr>
                <w:rFonts w:eastAsia="Times New Roman"/>
                <w:bCs/>
                <w:sz w:val="18"/>
                <w:szCs w:val="18"/>
              </w:rPr>
            </w:pPr>
            <w:r w:rsidRPr="0087666A">
              <w:rPr>
                <w:rFonts w:eastAsia="Times New Roman"/>
                <w:bCs/>
                <w:sz w:val="18"/>
                <w:szCs w:val="18"/>
              </w:rPr>
              <w:t xml:space="preserve">                                4 – 36 track drives (5236)</w:t>
            </w:r>
          </w:p>
          <w:p w:rsidR="0087666A" w:rsidRPr="0087666A" w:rsidRDefault="0087666A" w:rsidP="0087666A">
            <w:pPr>
              <w:rPr>
                <w:rFonts w:eastAsia="Times New Roman"/>
                <w:bCs/>
                <w:sz w:val="18"/>
                <w:szCs w:val="18"/>
              </w:rPr>
            </w:pPr>
            <w:r w:rsidRPr="0087666A">
              <w:rPr>
                <w:rFonts w:eastAsia="Times New Roman"/>
                <w:bCs/>
                <w:sz w:val="18"/>
                <w:szCs w:val="18"/>
              </w:rPr>
              <w:t>PSP Development:  6 – 9840C drives</w:t>
            </w:r>
          </w:p>
          <w:p w:rsidR="0087666A" w:rsidRPr="0087666A" w:rsidRDefault="0087666A" w:rsidP="0087666A">
            <w:pPr>
              <w:rPr>
                <w:rFonts w:eastAsia="Times New Roman"/>
                <w:bCs/>
                <w:sz w:val="18"/>
                <w:szCs w:val="18"/>
              </w:rPr>
            </w:pPr>
            <w:r w:rsidRPr="0087666A">
              <w:rPr>
                <w:rFonts w:eastAsia="Times New Roman"/>
                <w:bCs/>
                <w:sz w:val="18"/>
                <w:szCs w:val="18"/>
              </w:rPr>
              <w:t xml:space="preserve">                                4 – 36 track drives (5236)</w:t>
            </w:r>
          </w:p>
          <w:p w:rsidR="0087666A" w:rsidRPr="0087666A" w:rsidRDefault="0087666A" w:rsidP="0087666A">
            <w:pPr>
              <w:rPr>
                <w:rFonts w:eastAsia="Times New Roman"/>
                <w:bCs/>
                <w:sz w:val="18"/>
                <w:szCs w:val="18"/>
              </w:rPr>
            </w:pPr>
          </w:p>
          <w:p w:rsidR="0087666A" w:rsidRPr="009E4812" w:rsidRDefault="0087666A" w:rsidP="0087666A">
            <w:pPr>
              <w:rPr>
                <w:rFonts w:eastAsia="Times New Roman"/>
                <w:bCs/>
                <w:sz w:val="18"/>
                <w:szCs w:val="18"/>
              </w:rPr>
            </w:pPr>
            <w:r w:rsidRPr="0087666A">
              <w:rPr>
                <w:rFonts w:eastAsia="Times New Roman"/>
                <w:bCs/>
                <w:sz w:val="18"/>
                <w:szCs w:val="18"/>
              </w:rPr>
              <w:t>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w:t>
            </w:r>
          </w:p>
        </w:tc>
      </w:tr>
    </w:tbl>
    <w:p w:rsidR="0087666A" w:rsidRDefault="0087666A" w:rsidP="00003895">
      <w:pPr>
        <w:pStyle w:val="NoSpacing"/>
        <w:rPr>
          <w:rFonts w:ascii="Times New Roman" w:hAnsi="Times New Roman"/>
          <w:color w:val="000000" w:themeColor="text1"/>
          <w:sz w:val="18"/>
          <w:szCs w:val="18"/>
        </w:rPr>
      </w:pPr>
    </w:p>
    <w:p w:rsidR="0087666A" w:rsidRDefault="0087666A" w:rsidP="00003895">
      <w:pPr>
        <w:pStyle w:val="NoSpacing"/>
        <w:rPr>
          <w:rFonts w:ascii="Times New Roman" w:hAnsi="Times New Roman"/>
          <w:color w:val="000000" w:themeColor="text1"/>
          <w:sz w:val="18"/>
          <w:szCs w:val="18"/>
        </w:rPr>
      </w:pPr>
    </w:p>
    <w:p w:rsidR="0087666A" w:rsidRDefault="0087666A" w:rsidP="00B476A5">
      <w:pPr>
        <w:tabs>
          <w:tab w:val="left" w:pos="5943"/>
        </w:tabs>
      </w:pPr>
      <w:r w:rsidRPr="00C949FA">
        <w:rPr>
          <w:sz w:val="18"/>
          <w:szCs w:val="18"/>
        </w:rPr>
        <w:t>Revised (original answer posted as Addendum 13 – Additional Answers</w:t>
      </w:r>
      <w:r w:rsidRPr="00C949FA">
        <w:t>)</w:t>
      </w:r>
      <w:r w:rsidR="00B476A5">
        <w:tab/>
      </w:r>
    </w:p>
    <w:tbl>
      <w:tblPr>
        <w:tblW w:w="146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
        <w:gridCol w:w="1395"/>
        <w:gridCol w:w="1440"/>
        <w:gridCol w:w="990"/>
        <w:gridCol w:w="3780"/>
        <w:gridCol w:w="6120"/>
      </w:tblGrid>
      <w:tr w:rsidR="00B476A5" w:rsidRPr="001A443A" w:rsidTr="00F24D74">
        <w:trPr>
          <w:trHeight w:val="332"/>
        </w:trPr>
        <w:tc>
          <w:tcPr>
            <w:tcW w:w="96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B476A5" w:rsidRPr="00F24D74" w:rsidRDefault="00B476A5" w:rsidP="00B476A5">
            <w:pPr>
              <w:rPr>
                <w:rFonts w:eastAsia="Times New Roman"/>
                <w:bCs/>
                <w:color w:val="000000"/>
                <w:sz w:val="18"/>
                <w:szCs w:val="18"/>
              </w:rPr>
            </w:pPr>
          </w:p>
        </w:tc>
        <w:tc>
          <w:tcPr>
            <w:tcW w:w="1395"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B476A5" w:rsidRPr="00F24D74" w:rsidRDefault="00B476A5" w:rsidP="00B476A5">
            <w:pPr>
              <w:rPr>
                <w:rFonts w:eastAsia="Times New Roman"/>
                <w:bCs/>
                <w:color w:val="000000"/>
                <w:sz w:val="18"/>
                <w:szCs w:val="18"/>
              </w:rPr>
            </w:pPr>
            <w:r w:rsidRPr="00F24D74">
              <w:rPr>
                <w:rFonts w:eastAsia="Times New Roman"/>
                <w:bCs/>
                <w:color w:val="000000"/>
                <w:sz w:val="18"/>
                <w:szCs w:val="18"/>
              </w:rPr>
              <w:t>Doc</w:t>
            </w: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B476A5" w:rsidRPr="00F24D74" w:rsidRDefault="00B476A5" w:rsidP="00B476A5">
            <w:pPr>
              <w:rPr>
                <w:rFonts w:eastAsia="Times New Roman"/>
                <w:bCs/>
                <w:color w:val="000000"/>
                <w:sz w:val="18"/>
                <w:szCs w:val="18"/>
              </w:rPr>
            </w:pPr>
            <w:r w:rsidRPr="00F24D74">
              <w:rPr>
                <w:rFonts w:eastAsia="Times New Roman"/>
                <w:bCs/>
                <w:color w:val="000000"/>
                <w:sz w:val="18"/>
                <w:szCs w:val="18"/>
              </w:rPr>
              <w:t>Sec</w:t>
            </w:r>
          </w:p>
        </w:tc>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B476A5" w:rsidRPr="00F24D74" w:rsidRDefault="00B476A5" w:rsidP="00B476A5">
            <w:pPr>
              <w:rPr>
                <w:rFonts w:eastAsia="Times New Roman"/>
                <w:bCs/>
                <w:color w:val="000000"/>
                <w:sz w:val="18"/>
                <w:szCs w:val="18"/>
              </w:rPr>
            </w:pPr>
            <w:r w:rsidRPr="00F24D74">
              <w:rPr>
                <w:rFonts w:eastAsia="Times New Roman"/>
                <w:bCs/>
                <w:color w:val="000000"/>
                <w:sz w:val="18"/>
                <w:szCs w:val="18"/>
              </w:rPr>
              <w:t>Pg</w:t>
            </w:r>
          </w:p>
        </w:tc>
        <w:tc>
          <w:tcPr>
            <w:tcW w:w="3780"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B476A5" w:rsidRPr="00F24D74" w:rsidRDefault="00B476A5" w:rsidP="00B476A5">
            <w:pPr>
              <w:rPr>
                <w:rFonts w:eastAsia="Times New Roman"/>
                <w:bCs/>
                <w:color w:val="000000"/>
                <w:sz w:val="18"/>
                <w:szCs w:val="18"/>
              </w:rPr>
            </w:pPr>
            <w:r w:rsidRPr="00F24D74">
              <w:rPr>
                <w:rFonts w:eastAsia="Times New Roman"/>
                <w:bCs/>
                <w:color w:val="000000"/>
                <w:sz w:val="18"/>
                <w:szCs w:val="18"/>
              </w:rPr>
              <w:t>Question</w:t>
            </w:r>
          </w:p>
        </w:tc>
        <w:tc>
          <w:tcPr>
            <w:tcW w:w="6120"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B476A5" w:rsidRPr="00F24D74" w:rsidRDefault="00B476A5" w:rsidP="00B476A5">
            <w:pPr>
              <w:rPr>
                <w:rFonts w:eastAsia="Times New Roman"/>
                <w:bCs/>
                <w:color w:val="000000"/>
                <w:sz w:val="18"/>
                <w:szCs w:val="18"/>
              </w:rPr>
            </w:pPr>
            <w:r w:rsidRPr="00F24D74">
              <w:rPr>
                <w:rFonts w:eastAsia="Times New Roman"/>
                <w:bCs/>
                <w:color w:val="000000"/>
                <w:sz w:val="18"/>
                <w:szCs w:val="18"/>
              </w:rPr>
              <w:t>Answer</w:t>
            </w:r>
          </w:p>
        </w:tc>
      </w:tr>
      <w:tr w:rsidR="000F7948" w:rsidRPr="00496CF4" w:rsidTr="00C931D0">
        <w:trPr>
          <w:trHeight w:val="1920"/>
        </w:trPr>
        <w:tc>
          <w:tcPr>
            <w:tcW w:w="960" w:type="dxa"/>
            <w:shd w:val="clear" w:color="auto" w:fill="auto"/>
            <w:vAlign w:val="center"/>
            <w:hideMark/>
          </w:tcPr>
          <w:p w:rsidR="000F7948" w:rsidRPr="00496CF4" w:rsidRDefault="000F7948" w:rsidP="00E21E6F">
            <w:pPr>
              <w:jc w:val="center"/>
              <w:rPr>
                <w:rFonts w:eastAsia="Times New Roman"/>
                <w:color w:val="000000"/>
                <w:sz w:val="18"/>
                <w:szCs w:val="18"/>
              </w:rPr>
            </w:pPr>
            <w:r w:rsidRPr="00496CF4">
              <w:rPr>
                <w:rFonts w:eastAsia="Times New Roman"/>
                <w:color w:val="000000"/>
                <w:sz w:val="18"/>
                <w:szCs w:val="18"/>
              </w:rPr>
              <w:t>32</w:t>
            </w:r>
          </w:p>
        </w:tc>
        <w:tc>
          <w:tcPr>
            <w:tcW w:w="1395" w:type="dxa"/>
            <w:shd w:val="clear" w:color="auto" w:fill="auto"/>
            <w:hideMark/>
          </w:tcPr>
          <w:p w:rsidR="000F7948" w:rsidRPr="00496CF4" w:rsidRDefault="000F7948" w:rsidP="00E21E6F">
            <w:pPr>
              <w:rPr>
                <w:rFonts w:eastAsia="Times New Roman"/>
                <w:color w:val="000000"/>
                <w:sz w:val="18"/>
                <w:szCs w:val="18"/>
              </w:rPr>
            </w:pPr>
            <w:r w:rsidRPr="00496CF4">
              <w:rPr>
                <w:rFonts w:eastAsia="Times New Roman"/>
                <w:color w:val="000000"/>
                <w:sz w:val="18"/>
                <w:szCs w:val="18"/>
              </w:rPr>
              <w:t>Schedule I, Offeror Pricing Forms</w:t>
            </w:r>
          </w:p>
        </w:tc>
        <w:tc>
          <w:tcPr>
            <w:tcW w:w="1440" w:type="dxa"/>
            <w:shd w:val="clear" w:color="auto" w:fill="auto"/>
            <w:hideMark/>
          </w:tcPr>
          <w:p w:rsidR="000F7948" w:rsidRPr="00496CF4" w:rsidRDefault="000F7948" w:rsidP="00E21E6F">
            <w:pPr>
              <w:rPr>
                <w:rFonts w:eastAsia="Times New Roman"/>
                <w:color w:val="000000"/>
                <w:sz w:val="18"/>
                <w:szCs w:val="18"/>
              </w:rPr>
            </w:pPr>
            <w:r w:rsidRPr="00496CF4">
              <w:rPr>
                <w:rFonts w:eastAsia="Times New Roman"/>
                <w:color w:val="000000"/>
                <w:sz w:val="18"/>
                <w:szCs w:val="18"/>
              </w:rPr>
              <w:t>General</w:t>
            </w:r>
          </w:p>
        </w:tc>
        <w:tc>
          <w:tcPr>
            <w:tcW w:w="990" w:type="dxa"/>
            <w:shd w:val="clear" w:color="auto" w:fill="auto"/>
            <w:hideMark/>
          </w:tcPr>
          <w:p w:rsidR="000F7948" w:rsidRPr="00496CF4" w:rsidRDefault="000F7948" w:rsidP="00E21E6F">
            <w:pPr>
              <w:rPr>
                <w:rFonts w:eastAsia="Times New Roman"/>
                <w:color w:val="000000"/>
                <w:sz w:val="18"/>
                <w:szCs w:val="18"/>
              </w:rPr>
            </w:pPr>
            <w:r w:rsidRPr="00496CF4">
              <w:rPr>
                <w:rFonts w:eastAsia="Times New Roman"/>
                <w:color w:val="000000"/>
                <w:sz w:val="18"/>
                <w:szCs w:val="18"/>
              </w:rPr>
              <w:t>N/A</w:t>
            </w:r>
          </w:p>
        </w:tc>
        <w:tc>
          <w:tcPr>
            <w:tcW w:w="3780" w:type="dxa"/>
            <w:shd w:val="clear" w:color="auto" w:fill="auto"/>
            <w:hideMark/>
          </w:tcPr>
          <w:p w:rsidR="000F7948" w:rsidRPr="00496CF4" w:rsidRDefault="000F7948" w:rsidP="00E21E6F">
            <w:pPr>
              <w:rPr>
                <w:rFonts w:eastAsia="Times New Roman"/>
                <w:color w:val="000000"/>
                <w:sz w:val="18"/>
                <w:szCs w:val="18"/>
              </w:rPr>
            </w:pPr>
            <w:r w:rsidRPr="00496CF4">
              <w:rPr>
                <w:rFonts w:eastAsia="Times New Roman"/>
                <w:color w:val="000000"/>
                <w:sz w:val="18"/>
                <w:szCs w:val="18"/>
              </w:rPr>
              <w:t>In the event Optional Services (use of Technical Rate Card) requires travel in order to perform the required services, how would the Commonwealth prefer these costs to be recovered?  Is it reasonable to assume that the preferred approach would be to rebill travel expenses if and when required? If this is not acceptable to the Commonwealth, please provide the preferred approach.</w:t>
            </w:r>
          </w:p>
        </w:tc>
        <w:tc>
          <w:tcPr>
            <w:tcW w:w="6120" w:type="dxa"/>
            <w:shd w:val="clear" w:color="auto" w:fill="auto"/>
            <w:hideMark/>
          </w:tcPr>
          <w:p w:rsidR="000F7948" w:rsidRDefault="000F7948" w:rsidP="00E21E6F">
            <w:pPr>
              <w:rPr>
                <w:rFonts w:eastAsia="Times New Roman"/>
                <w:strike/>
                <w:color w:val="FF0000"/>
                <w:sz w:val="18"/>
                <w:szCs w:val="18"/>
              </w:rPr>
            </w:pPr>
            <w:r w:rsidRPr="000F7948">
              <w:rPr>
                <w:rFonts w:eastAsia="Times New Roman"/>
                <w:strike/>
                <w:color w:val="FF0000"/>
                <w:sz w:val="18"/>
                <w:szCs w:val="18"/>
              </w:rPr>
              <w:t xml:space="preserve">In regard to Optional Services (use of Technical Rate Card), travel costs will be paid in accordance with </w:t>
            </w:r>
            <w:hyperlink r:id="rId9" w:history="1">
              <w:r w:rsidRPr="000F7948">
                <w:rPr>
                  <w:rStyle w:val="Hyperlink"/>
                  <w:rFonts w:eastAsia="Times New Roman"/>
                  <w:strike/>
                  <w:color w:val="FF0000"/>
                  <w:sz w:val="18"/>
                  <w:szCs w:val="18"/>
                </w:rPr>
                <w:t>Commonwealth Management Directive 230.10</w:t>
              </w:r>
            </w:hyperlink>
            <w:r w:rsidRPr="000F7948">
              <w:rPr>
                <w:rFonts w:eastAsia="Times New Roman"/>
                <w:strike/>
                <w:color w:val="FF0000"/>
                <w:sz w:val="18"/>
                <w:szCs w:val="18"/>
              </w:rPr>
              <w:t xml:space="preserve">.. </w:t>
            </w:r>
          </w:p>
          <w:p w:rsidR="00C949FA" w:rsidRDefault="00C949FA" w:rsidP="00E21E6F">
            <w:pPr>
              <w:rPr>
                <w:rFonts w:eastAsia="Times New Roman"/>
                <w:strike/>
                <w:color w:val="FF0000"/>
                <w:sz w:val="18"/>
                <w:szCs w:val="18"/>
              </w:rPr>
            </w:pPr>
          </w:p>
          <w:p w:rsidR="00C931D0" w:rsidRPr="00C931D0" w:rsidRDefault="00C931D0" w:rsidP="00C931D0">
            <w:pPr>
              <w:rPr>
                <w:rFonts w:eastAsia="Times New Roman"/>
                <w:b/>
                <w:bCs/>
                <w:sz w:val="18"/>
                <w:szCs w:val="18"/>
              </w:rPr>
            </w:pPr>
            <w:r w:rsidRPr="00C931D0">
              <w:rPr>
                <w:rFonts w:eastAsia="Times New Roman"/>
                <w:b/>
                <w:bCs/>
                <w:sz w:val="18"/>
                <w:szCs w:val="18"/>
              </w:rPr>
              <w:t>Revised Answer:</w:t>
            </w:r>
          </w:p>
          <w:p w:rsidR="00C949FA" w:rsidRPr="00C949FA" w:rsidRDefault="00C949FA" w:rsidP="00E21E6F">
            <w:pPr>
              <w:rPr>
                <w:rFonts w:eastAsia="Times New Roman"/>
                <w:color w:val="000000" w:themeColor="text1"/>
                <w:sz w:val="18"/>
                <w:szCs w:val="18"/>
              </w:rPr>
            </w:pPr>
            <w:r w:rsidRPr="00C949FA">
              <w:rPr>
                <w:rFonts w:eastAsia="Times New Roman"/>
                <w:color w:val="000000" w:themeColor="text1"/>
                <w:sz w:val="18"/>
                <w:szCs w:val="18"/>
              </w:rPr>
              <w:t>The rates provided in the Technical Rate Card in Schedule I - Offeror Pricing Forms, should include all travel costs.  The Commonwealth will not pay any travel costs in addition to the rates provided.</w:t>
            </w:r>
          </w:p>
        </w:tc>
      </w:tr>
    </w:tbl>
    <w:p w:rsidR="0087666A" w:rsidRDefault="0087666A" w:rsidP="00003895">
      <w:pPr>
        <w:pStyle w:val="NoSpacing"/>
        <w:rPr>
          <w:rFonts w:ascii="Times New Roman" w:hAnsi="Times New Roman"/>
          <w:color w:val="000000" w:themeColor="text1"/>
          <w:sz w:val="18"/>
          <w:szCs w:val="18"/>
        </w:rPr>
      </w:pPr>
    </w:p>
    <w:p w:rsidR="002E210B" w:rsidRDefault="002E210B" w:rsidP="00003895">
      <w:pPr>
        <w:pStyle w:val="NoSpacing"/>
        <w:rPr>
          <w:rFonts w:ascii="Times New Roman" w:hAnsi="Times New Roman"/>
          <w:color w:val="000000" w:themeColor="text1"/>
          <w:sz w:val="18"/>
          <w:szCs w:val="18"/>
        </w:rPr>
      </w:pPr>
    </w:p>
    <w:p w:rsidR="00F24D74" w:rsidRDefault="00E21E6F" w:rsidP="00F24D74">
      <w:pPr>
        <w:pStyle w:val="NoSpacing"/>
        <w:tabs>
          <w:tab w:val="left" w:pos="5309"/>
        </w:tabs>
        <w:rPr>
          <w:rFonts w:ascii="Times New Roman" w:hAnsi="Times New Roman"/>
          <w:color w:val="000000" w:themeColor="text1"/>
          <w:sz w:val="18"/>
          <w:szCs w:val="18"/>
        </w:rPr>
      </w:pPr>
      <w:r>
        <w:rPr>
          <w:rFonts w:ascii="Times New Roman" w:hAnsi="Times New Roman"/>
          <w:color w:val="000000" w:themeColor="text1"/>
          <w:sz w:val="18"/>
          <w:szCs w:val="18"/>
        </w:rPr>
        <w:t xml:space="preserve">Revised (original answer posted as Addendum 3 </w:t>
      </w:r>
      <w:r w:rsidR="004208AC">
        <w:rPr>
          <w:rFonts w:ascii="Times New Roman" w:hAnsi="Times New Roman"/>
          <w:color w:val="000000" w:themeColor="text1"/>
          <w:sz w:val="18"/>
          <w:szCs w:val="18"/>
        </w:rPr>
        <w:t xml:space="preserve">- </w:t>
      </w:r>
      <w:r>
        <w:rPr>
          <w:rFonts w:ascii="Times New Roman" w:hAnsi="Times New Roman"/>
          <w:color w:val="000000" w:themeColor="text1"/>
          <w:sz w:val="18"/>
          <w:szCs w:val="18"/>
        </w:rPr>
        <w:t>Round 1, Part 1)</w:t>
      </w:r>
      <w:r w:rsidR="00F24D74">
        <w:rPr>
          <w:rFonts w:ascii="Times New Roman" w:hAnsi="Times New Roman"/>
          <w:color w:val="000000" w:themeColor="text1"/>
          <w:sz w:val="18"/>
          <w:szCs w:val="18"/>
        </w:rPr>
        <w:tab/>
      </w:r>
    </w:p>
    <w:tbl>
      <w:tblPr>
        <w:tblpPr w:leftFromText="180" w:rightFromText="180" w:vertAnchor="text" w:tblpY="1"/>
        <w:tblOverlap w:val="never"/>
        <w:tblW w:w="147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0"/>
        <w:gridCol w:w="1440"/>
        <w:gridCol w:w="1440"/>
        <w:gridCol w:w="990"/>
        <w:gridCol w:w="3780"/>
        <w:gridCol w:w="6120"/>
      </w:tblGrid>
      <w:tr w:rsidR="00F24D74" w:rsidRPr="005250E8" w:rsidTr="00F24D74">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F24D74" w:rsidRPr="00F24D74" w:rsidRDefault="00F24D74" w:rsidP="009A347A">
            <w:pPr>
              <w:rPr>
                <w:rFonts w:eastAsia="Times New Roman"/>
                <w:bCs/>
                <w:color w:val="000000"/>
                <w:sz w:val="18"/>
                <w:szCs w:val="18"/>
              </w:rPr>
            </w:pP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9A347A">
            <w:pPr>
              <w:rPr>
                <w:rFonts w:eastAsia="Times New Roman"/>
                <w:bCs/>
                <w:color w:val="000000"/>
                <w:sz w:val="18"/>
                <w:szCs w:val="18"/>
              </w:rPr>
            </w:pPr>
            <w:r w:rsidRPr="00F24D74">
              <w:rPr>
                <w:rFonts w:eastAsia="Times New Roman"/>
                <w:bCs/>
                <w:color w:val="000000"/>
                <w:sz w:val="18"/>
                <w:szCs w:val="18"/>
              </w:rPr>
              <w:t>Doc</w:t>
            </w: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9A347A">
            <w:pPr>
              <w:rPr>
                <w:rFonts w:eastAsia="Times New Roman"/>
                <w:bCs/>
                <w:color w:val="000000"/>
                <w:sz w:val="18"/>
                <w:szCs w:val="18"/>
              </w:rPr>
            </w:pPr>
            <w:r w:rsidRPr="00F24D74">
              <w:rPr>
                <w:rFonts w:eastAsia="Times New Roman"/>
                <w:bCs/>
                <w:color w:val="000000"/>
                <w:sz w:val="18"/>
                <w:szCs w:val="18"/>
              </w:rPr>
              <w:t>Sec</w:t>
            </w:r>
          </w:p>
        </w:tc>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9A347A">
            <w:pPr>
              <w:rPr>
                <w:rFonts w:eastAsia="Times New Roman"/>
                <w:bCs/>
                <w:color w:val="000000"/>
                <w:sz w:val="18"/>
                <w:szCs w:val="18"/>
              </w:rPr>
            </w:pPr>
            <w:r w:rsidRPr="00F24D74">
              <w:rPr>
                <w:rFonts w:eastAsia="Times New Roman"/>
                <w:bCs/>
                <w:color w:val="000000"/>
                <w:sz w:val="18"/>
                <w:szCs w:val="18"/>
              </w:rPr>
              <w:t>Pg</w:t>
            </w:r>
          </w:p>
        </w:tc>
        <w:tc>
          <w:tcPr>
            <w:tcW w:w="378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9A347A">
            <w:pPr>
              <w:rPr>
                <w:rFonts w:eastAsia="Times New Roman"/>
                <w:bCs/>
                <w:color w:val="000000"/>
                <w:sz w:val="18"/>
                <w:szCs w:val="18"/>
              </w:rPr>
            </w:pPr>
            <w:r w:rsidRPr="00F24D74">
              <w:rPr>
                <w:rFonts w:eastAsia="Times New Roman"/>
                <w:bCs/>
                <w:color w:val="000000"/>
                <w:sz w:val="18"/>
                <w:szCs w:val="18"/>
              </w:rPr>
              <w:t>Question</w:t>
            </w:r>
          </w:p>
        </w:tc>
        <w:tc>
          <w:tcPr>
            <w:tcW w:w="612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9A347A">
            <w:pPr>
              <w:rPr>
                <w:rFonts w:eastAsia="Times New Roman"/>
                <w:bCs/>
                <w:color w:val="000000"/>
                <w:sz w:val="18"/>
                <w:szCs w:val="18"/>
              </w:rPr>
            </w:pPr>
            <w:r w:rsidRPr="00F24D74">
              <w:rPr>
                <w:rFonts w:eastAsia="Times New Roman"/>
                <w:bCs/>
                <w:color w:val="000000"/>
                <w:sz w:val="18"/>
                <w:szCs w:val="18"/>
              </w:rPr>
              <w:t>Answer</w:t>
            </w:r>
          </w:p>
        </w:tc>
      </w:tr>
      <w:tr w:rsidR="00F24D74" w:rsidRPr="005250E8" w:rsidTr="009C60D5">
        <w:tc>
          <w:tcPr>
            <w:tcW w:w="990" w:type="dxa"/>
            <w:tcBorders>
              <w:top w:val="single" w:sz="4" w:space="0" w:color="auto"/>
              <w:left w:val="single" w:sz="4" w:space="0" w:color="auto"/>
              <w:bottom w:val="single" w:sz="4" w:space="0" w:color="auto"/>
              <w:right w:val="single" w:sz="4" w:space="0" w:color="auto"/>
            </w:tcBorders>
          </w:tcPr>
          <w:p w:rsidR="00F24D74" w:rsidRPr="005250E8" w:rsidRDefault="00F24D74" w:rsidP="009C60D5">
            <w:pPr>
              <w:pStyle w:val="ListParagraph"/>
              <w:tabs>
                <w:tab w:val="left" w:pos="155"/>
              </w:tabs>
              <w:spacing w:before="60" w:after="60"/>
              <w:ind w:left="180"/>
              <w:jc w:val="center"/>
              <w:rPr>
                <w:rFonts w:ascii="Times New Roman" w:hAnsi="Times New Roman"/>
                <w:color w:val="000000" w:themeColor="text1"/>
                <w:sz w:val="18"/>
                <w:szCs w:val="18"/>
              </w:rPr>
            </w:pPr>
            <w:r>
              <w:rPr>
                <w:rFonts w:ascii="Times New Roman" w:hAnsi="Times New Roman"/>
                <w:color w:val="000000" w:themeColor="text1"/>
                <w:sz w:val="18"/>
                <w:szCs w:val="18"/>
              </w:rPr>
              <w:t>134</w:t>
            </w:r>
          </w:p>
        </w:tc>
        <w:tc>
          <w:tcPr>
            <w:tcW w:w="1440" w:type="dxa"/>
            <w:tcBorders>
              <w:top w:val="single" w:sz="4" w:space="0" w:color="auto"/>
              <w:left w:val="single" w:sz="4" w:space="0" w:color="auto"/>
              <w:bottom w:val="single" w:sz="4" w:space="0" w:color="auto"/>
              <w:right w:val="single" w:sz="4" w:space="0" w:color="auto"/>
            </w:tcBorders>
          </w:tcPr>
          <w:p w:rsidR="00F24D74" w:rsidRPr="005250E8" w:rsidRDefault="00F24D74" w:rsidP="009C60D5">
            <w:pPr>
              <w:spacing w:before="60" w:after="60"/>
              <w:jc w:val="center"/>
              <w:rPr>
                <w:color w:val="000000" w:themeColor="text1"/>
                <w:sz w:val="18"/>
                <w:szCs w:val="18"/>
              </w:rPr>
            </w:pPr>
            <w:r w:rsidRPr="005250E8">
              <w:rPr>
                <w:color w:val="000000" w:themeColor="text1"/>
                <w:sz w:val="18"/>
                <w:szCs w:val="18"/>
              </w:rPr>
              <w:t xml:space="preserve">Exhibit L - </w:t>
            </w:r>
            <w:r w:rsidRPr="005250E8">
              <w:rPr>
                <w:color w:val="000000" w:themeColor="text1"/>
                <w:sz w:val="18"/>
                <w:szCs w:val="18"/>
              </w:rPr>
              <w:br/>
              <w:t>Schedule F -</w:t>
            </w:r>
          </w:p>
        </w:tc>
        <w:tc>
          <w:tcPr>
            <w:tcW w:w="1440" w:type="dxa"/>
            <w:tcBorders>
              <w:top w:val="single" w:sz="4" w:space="0" w:color="auto"/>
              <w:left w:val="single" w:sz="4" w:space="0" w:color="auto"/>
              <w:bottom w:val="single" w:sz="4" w:space="0" w:color="auto"/>
              <w:right w:val="single" w:sz="4" w:space="0" w:color="auto"/>
            </w:tcBorders>
          </w:tcPr>
          <w:p w:rsidR="00F24D74" w:rsidRPr="005250E8" w:rsidRDefault="00F24D74" w:rsidP="009C60D5">
            <w:pPr>
              <w:spacing w:before="60" w:after="60"/>
              <w:jc w:val="center"/>
              <w:rPr>
                <w:color w:val="000000" w:themeColor="text1"/>
                <w:sz w:val="18"/>
                <w:szCs w:val="18"/>
              </w:rPr>
            </w:pPr>
            <w:r w:rsidRPr="005250E8">
              <w:rPr>
                <w:color w:val="000000" w:themeColor="text1"/>
                <w:sz w:val="18"/>
                <w:szCs w:val="18"/>
              </w:rPr>
              <w:t>3.3.2.2</w:t>
            </w:r>
          </w:p>
        </w:tc>
        <w:tc>
          <w:tcPr>
            <w:tcW w:w="990" w:type="dxa"/>
            <w:tcBorders>
              <w:top w:val="single" w:sz="4" w:space="0" w:color="auto"/>
              <w:left w:val="single" w:sz="4" w:space="0" w:color="auto"/>
              <w:bottom w:val="single" w:sz="4" w:space="0" w:color="auto"/>
              <w:right w:val="single" w:sz="4" w:space="0" w:color="auto"/>
            </w:tcBorders>
          </w:tcPr>
          <w:p w:rsidR="00F24D74" w:rsidRPr="005250E8" w:rsidRDefault="00F24D74" w:rsidP="009C60D5">
            <w:pPr>
              <w:spacing w:before="60" w:after="60"/>
              <w:jc w:val="center"/>
              <w:rPr>
                <w:color w:val="000000" w:themeColor="text1"/>
                <w:sz w:val="18"/>
                <w:szCs w:val="18"/>
              </w:rPr>
            </w:pPr>
            <w:r w:rsidRPr="005250E8">
              <w:rPr>
                <w:color w:val="000000" w:themeColor="text1"/>
                <w:sz w:val="18"/>
                <w:szCs w:val="18"/>
              </w:rPr>
              <w:t>152</w:t>
            </w:r>
          </w:p>
        </w:tc>
        <w:tc>
          <w:tcPr>
            <w:tcW w:w="3780" w:type="dxa"/>
            <w:tcBorders>
              <w:top w:val="single" w:sz="4" w:space="0" w:color="auto"/>
              <w:left w:val="single" w:sz="4" w:space="0" w:color="auto"/>
              <w:bottom w:val="single" w:sz="4" w:space="0" w:color="auto"/>
              <w:right w:val="single" w:sz="4" w:space="0" w:color="auto"/>
            </w:tcBorders>
          </w:tcPr>
          <w:p w:rsidR="00F24D74" w:rsidRPr="005250E8" w:rsidRDefault="00F24D74" w:rsidP="009C60D5">
            <w:pPr>
              <w:spacing w:before="60" w:after="60"/>
              <w:rPr>
                <w:color w:val="000000" w:themeColor="text1"/>
                <w:sz w:val="18"/>
                <w:szCs w:val="18"/>
              </w:rPr>
            </w:pPr>
            <w:r w:rsidRPr="005250E8">
              <w:rPr>
                <w:color w:val="000000" w:themeColor="text1"/>
                <w:sz w:val="18"/>
                <w:szCs w:val="18"/>
              </w:rPr>
              <w:t>Does the Commonwealth expect the Offeror to perform Baseline Security Risk and Vulnerability Assessment on all or just a sub-set of applications in-scope (as detailed in Exhibit L) for the Security Transition Services described in Schedule F?  Please provide the list of applications that are in scope for the security assessment.</w:t>
            </w:r>
          </w:p>
        </w:tc>
        <w:tc>
          <w:tcPr>
            <w:tcW w:w="6120" w:type="dxa"/>
            <w:tcBorders>
              <w:top w:val="single" w:sz="4" w:space="0" w:color="auto"/>
              <w:left w:val="single" w:sz="4" w:space="0" w:color="auto"/>
              <w:bottom w:val="single" w:sz="4" w:space="0" w:color="auto"/>
              <w:right w:val="single" w:sz="4" w:space="0" w:color="auto"/>
            </w:tcBorders>
          </w:tcPr>
          <w:p w:rsidR="00F24D74" w:rsidRPr="00BD6B52" w:rsidRDefault="00F24D74" w:rsidP="009C60D5">
            <w:pPr>
              <w:pStyle w:val="NoSpacing"/>
              <w:spacing w:before="60" w:after="60"/>
              <w:rPr>
                <w:rFonts w:ascii="Times New Roman" w:hAnsi="Times New Roman"/>
                <w:strike/>
                <w:color w:val="FF0000"/>
                <w:sz w:val="18"/>
                <w:szCs w:val="18"/>
              </w:rPr>
            </w:pPr>
            <w:r w:rsidRPr="00BD6B52">
              <w:rPr>
                <w:rFonts w:ascii="Times New Roman" w:hAnsi="Times New Roman"/>
                <w:strike/>
                <w:color w:val="FF0000"/>
                <w:sz w:val="18"/>
                <w:szCs w:val="18"/>
              </w:rPr>
              <w:t xml:space="preserve">The Offeror must perform </w:t>
            </w:r>
            <w:bookmarkStart w:id="2" w:name="OLE_LINK1"/>
            <w:bookmarkStart w:id="3" w:name="OLE_LINK2"/>
            <w:r w:rsidRPr="00BD6B52">
              <w:rPr>
                <w:rFonts w:ascii="Times New Roman" w:hAnsi="Times New Roman"/>
                <w:strike/>
                <w:color w:val="FF0000"/>
                <w:sz w:val="18"/>
                <w:szCs w:val="18"/>
              </w:rPr>
              <w:t xml:space="preserve">Baseline Security </w:t>
            </w:r>
            <w:bookmarkEnd w:id="2"/>
            <w:bookmarkEnd w:id="3"/>
            <w:r w:rsidRPr="00BD6B52">
              <w:rPr>
                <w:rFonts w:ascii="Times New Roman" w:hAnsi="Times New Roman"/>
                <w:strike/>
                <w:color w:val="FF0000"/>
                <w:sz w:val="18"/>
                <w:szCs w:val="18"/>
              </w:rPr>
              <w:t>Risk and Vulnerability Assessments on infrastructure only.</w:t>
            </w:r>
          </w:p>
          <w:p w:rsidR="00F24D74" w:rsidRDefault="00F24D74" w:rsidP="009C60D5">
            <w:pPr>
              <w:pStyle w:val="NoSpacing"/>
              <w:spacing w:before="60" w:after="60"/>
              <w:rPr>
                <w:rFonts w:ascii="Times New Roman" w:hAnsi="Times New Roman"/>
                <w:strike/>
                <w:color w:val="FF0000"/>
                <w:sz w:val="18"/>
                <w:szCs w:val="18"/>
              </w:rPr>
            </w:pPr>
            <w:r w:rsidRPr="00BD6B52">
              <w:rPr>
                <w:rFonts w:ascii="Times New Roman" w:hAnsi="Times New Roman"/>
                <w:strike/>
                <w:color w:val="FF0000"/>
                <w:sz w:val="18"/>
                <w:szCs w:val="18"/>
              </w:rPr>
              <w:t>Security at OS level is performed by the Commonwealth. Commonwealth</w:t>
            </w:r>
          </w:p>
          <w:p w:rsidR="00F24D74" w:rsidRDefault="00F24D74" w:rsidP="009C60D5">
            <w:pPr>
              <w:pStyle w:val="NoSpacing"/>
              <w:spacing w:before="60" w:after="60"/>
              <w:rPr>
                <w:rFonts w:ascii="Times New Roman" w:hAnsi="Times New Roman"/>
                <w:color w:val="000000" w:themeColor="text1"/>
                <w:sz w:val="18"/>
                <w:szCs w:val="18"/>
              </w:rPr>
            </w:pPr>
          </w:p>
          <w:p w:rsidR="00F24D74" w:rsidRPr="00C931D0" w:rsidRDefault="00F24D74" w:rsidP="009C60D5">
            <w:pPr>
              <w:rPr>
                <w:rFonts w:eastAsia="Times New Roman"/>
                <w:b/>
                <w:bCs/>
                <w:sz w:val="18"/>
                <w:szCs w:val="18"/>
              </w:rPr>
            </w:pPr>
            <w:r w:rsidRPr="00C931D0">
              <w:rPr>
                <w:rFonts w:eastAsia="Times New Roman"/>
                <w:b/>
                <w:bCs/>
                <w:sz w:val="18"/>
                <w:szCs w:val="18"/>
              </w:rPr>
              <w:t>Revised Answer:</w:t>
            </w:r>
          </w:p>
          <w:p w:rsidR="00F24D74" w:rsidRPr="00477BF3" w:rsidRDefault="00F24D74" w:rsidP="009C60D5">
            <w:pPr>
              <w:pStyle w:val="NoSpacing"/>
              <w:spacing w:before="60" w:after="60"/>
              <w:rPr>
                <w:rFonts w:ascii="Times New Roman" w:hAnsi="Times New Roman"/>
                <w:color w:val="000000" w:themeColor="text1"/>
                <w:sz w:val="18"/>
                <w:szCs w:val="18"/>
              </w:rPr>
            </w:pPr>
            <w:r w:rsidRPr="00477BF3">
              <w:rPr>
                <w:rFonts w:ascii="Times New Roman" w:hAnsi="Times New Roman"/>
                <w:color w:val="000000" w:themeColor="text1"/>
                <w:sz w:val="18"/>
                <w:szCs w:val="18"/>
              </w:rPr>
              <w:t xml:space="preserve">The </w:t>
            </w:r>
            <w:r>
              <w:rPr>
                <w:rFonts w:ascii="Times New Roman" w:hAnsi="Times New Roman"/>
                <w:color w:val="000000" w:themeColor="text1"/>
                <w:sz w:val="18"/>
                <w:szCs w:val="18"/>
              </w:rPr>
              <w:t xml:space="preserve">selected </w:t>
            </w:r>
            <w:r w:rsidRPr="00477BF3">
              <w:rPr>
                <w:rFonts w:ascii="Times New Roman" w:hAnsi="Times New Roman"/>
                <w:color w:val="000000" w:themeColor="text1"/>
                <w:sz w:val="18"/>
                <w:szCs w:val="18"/>
              </w:rPr>
              <w:t>Offeror must perform Baseline Security Ris</w:t>
            </w:r>
            <w:r>
              <w:rPr>
                <w:rFonts w:ascii="Times New Roman" w:hAnsi="Times New Roman"/>
                <w:color w:val="000000" w:themeColor="text1"/>
                <w:sz w:val="18"/>
                <w:szCs w:val="18"/>
              </w:rPr>
              <w:t>k and Vulnerability Assessments</w:t>
            </w:r>
            <w:r w:rsidRPr="00477BF3">
              <w:rPr>
                <w:rFonts w:ascii="Times New Roman" w:hAnsi="Times New Roman"/>
                <w:color w:val="000000" w:themeColor="text1"/>
                <w:sz w:val="18"/>
                <w:szCs w:val="18"/>
              </w:rPr>
              <w:t>.</w:t>
            </w:r>
          </w:p>
          <w:p w:rsidR="00F24D74" w:rsidRPr="005250E8" w:rsidRDefault="00F24D74" w:rsidP="009C60D5">
            <w:pPr>
              <w:pStyle w:val="NoSpacing"/>
              <w:spacing w:before="60" w:after="60"/>
              <w:rPr>
                <w:rFonts w:ascii="Times New Roman" w:hAnsi="Times New Roman"/>
                <w:color w:val="000000" w:themeColor="text1"/>
                <w:sz w:val="18"/>
                <w:szCs w:val="18"/>
              </w:rPr>
            </w:pPr>
            <w:r w:rsidRPr="00BD6B52">
              <w:rPr>
                <w:rFonts w:ascii="Times New Roman" w:hAnsi="Times New Roman"/>
                <w:color w:val="000000" w:themeColor="text1"/>
                <w:sz w:val="18"/>
                <w:szCs w:val="18"/>
              </w:rPr>
              <w:t>The selected Offeror is required to perform host/network/OS level scanning and quarterly PCI scanning. OA is responsible for Web application scanning.</w:t>
            </w:r>
          </w:p>
        </w:tc>
      </w:tr>
    </w:tbl>
    <w:p w:rsidR="009C60D5" w:rsidRDefault="009C60D5" w:rsidP="00003895">
      <w:pPr>
        <w:pStyle w:val="NoSpacing"/>
        <w:rPr>
          <w:rFonts w:ascii="Times New Roman" w:hAnsi="Times New Roman"/>
          <w:color w:val="000000" w:themeColor="text1"/>
          <w:sz w:val="18"/>
          <w:szCs w:val="18"/>
        </w:rPr>
      </w:pPr>
    </w:p>
    <w:p w:rsidR="009C60D5" w:rsidRDefault="009C60D5" w:rsidP="00003895">
      <w:pPr>
        <w:pStyle w:val="NoSpacing"/>
        <w:rPr>
          <w:rFonts w:ascii="Times New Roman" w:hAnsi="Times New Roman"/>
          <w:color w:val="000000" w:themeColor="text1"/>
          <w:sz w:val="18"/>
          <w:szCs w:val="18"/>
        </w:rPr>
      </w:pPr>
    </w:p>
    <w:p w:rsidR="009C60D5" w:rsidRDefault="009C60D5" w:rsidP="00003895">
      <w:pPr>
        <w:pStyle w:val="NoSpacing"/>
        <w:rPr>
          <w:rFonts w:ascii="Times New Roman" w:hAnsi="Times New Roman"/>
          <w:color w:val="000000" w:themeColor="text1"/>
          <w:sz w:val="18"/>
          <w:szCs w:val="18"/>
        </w:rPr>
      </w:pPr>
    </w:p>
    <w:p w:rsidR="009C60D5" w:rsidRDefault="009C60D5" w:rsidP="00003895">
      <w:pPr>
        <w:pStyle w:val="NoSpacing"/>
        <w:rPr>
          <w:rFonts w:ascii="Times New Roman" w:hAnsi="Times New Roman"/>
          <w:color w:val="000000" w:themeColor="text1"/>
          <w:sz w:val="18"/>
          <w:szCs w:val="18"/>
        </w:rPr>
      </w:pPr>
    </w:p>
    <w:p w:rsidR="009C60D5" w:rsidRDefault="009C60D5" w:rsidP="00003895">
      <w:pPr>
        <w:pStyle w:val="NoSpacing"/>
        <w:rPr>
          <w:rFonts w:ascii="Times New Roman" w:hAnsi="Times New Roman"/>
          <w:color w:val="000000" w:themeColor="text1"/>
          <w:sz w:val="18"/>
          <w:szCs w:val="18"/>
        </w:rPr>
      </w:pPr>
    </w:p>
    <w:p w:rsidR="00F24D74" w:rsidRDefault="00B476A5" w:rsidP="00003895">
      <w:pPr>
        <w:pStyle w:val="NoSpacing"/>
        <w:rPr>
          <w:rFonts w:ascii="Times New Roman" w:hAnsi="Times New Roman"/>
          <w:color w:val="000000" w:themeColor="text1"/>
          <w:sz w:val="18"/>
          <w:szCs w:val="18"/>
        </w:rPr>
      </w:pPr>
      <w:r>
        <w:rPr>
          <w:rFonts w:ascii="Times New Roman" w:hAnsi="Times New Roman"/>
          <w:color w:val="000000" w:themeColor="text1"/>
          <w:sz w:val="18"/>
          <w:szCs w:val="18"/>
        </w:rPr>
        <w:t xml:space="preserve">Revised answer (original answers posted as Addendum 4 </w:t>
      </w:r>
      <w:r w:rsidR="004208AC">
        <w:rPr>
          <w:rFonts w:ascii="Times New Roman" w:hAnsi="Times New Roman"/>
          <w:color w:val="000000" w:themeColor="text1"/>
          <w:sz w:val="18"/>
          <w:szCs w:val="18"/>
        </w:rPr>
        <w:t xml:space="preserve">- </w:t>
      </w:r>
      <w:r>
        <w:rPr>
          <w:rFonts w:ascii="Times New Roman" w:hAnsi="Times New Roman"/>
          <w:color w:val="000000" w:themeColor="text1"/>
          <w:sz w:val="18"/>
          <w:szCs w:val="18"/>
        </w:rPr>
        <w:t>Round 1, Part 2)</w:t>
      </w:r>
    </w:p>
    <w:tbl>
      <w:tblPr>
        <w:tblpPr w:leftFromText="180" w:rightFromText="180" w:vertAnchor="text" w:tblpY="1"/>
        <w:tblOverlap w:val="never"/>
        <w:tblW w:w="147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0"/>
        <w:gridCol w:w="1440"/>
        <w:gridCol w:w="1440"/>
        <w:gridCol w:w="990"/>
        <w:gridCol w:w="3780"/>
        <w:gridCol w:w="6120"/>
      </w:tblGrid>
      <w:tr w:rsidR="00F24D74" w:rsidRPr="005250E8" w:rsidTr="009A347A">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F24D74" w:rsidRPr="00F24D74" w:rsidRDefault="00F24D74" w:rsidP="00F24D74">
            <w:pPr>
              <w:rPr>
                <w:rFonts w:eastAsia="Times New Roman"/>
                <w:bCs/>
                <w:color w:val="000000"/>
                <w:sz w:val="18"/>
                <w:szCs w:val="18"/>
              </w:rPr>
            </w:pP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Doc</w:t>
            </w: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Sec</w:t>
            </w:r>
          </w:p>
        </w:tc>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Pg</w:t>
            </w:r>
          </w:p>
        </w:tc>
        <w:tc>
          <w:tcPr>
            <w:tcW w:w="378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Question</w:t>
            </w:r>
          </w:p>
        </w:tc>
        <w:tc>
          <w:tcPr>
            <w:tcW w:w="612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Answer</w:t>
            </w:r>
          </w:p>
        </w:tc>
      </w:tr>
      <w:tr w:rsidR="00B476A5" w:rsidRPr="001A443A" w:rsidTr="00B476A5">
        <w:trPr>
          <w:cantSplit/>
        </w:trPr>
        <w:tc>
          <w:tcPr>
            <w:tcW w:w="990" w:type="dxa"/>
            <w:shd w:val="clear" w:color="auto" w:fill="auto"/>
          </w:tcPr>
          <w:p w:rsidR="00B476A5" w:rsidRPr="001A443A" w:rsidRDefault="00B476A5" w:rsidP="00B476A5">
            <w:pPr>
              <w:pStyle w:val="ListParagraph"/>
              <w:tabs>
                <w:tab w:val="left" w:pos="155"/>
              </w:tabs>
              <w:spacing w:before="60" w:after="60"/>
              <w:ind w:left="180"/>
              <w:rPr>
                <w:rFonts w:ascii="Times New Roman" w:hAnsi="Times New Roman"/>
                <w:color w:val="000000" w:themeColor="text1"/>
                <w:sz w:val="18"/>
                <w:szCs w:val="18"/>
              </w:rPr>
            </w:pPr>
            <w:r>
              <w:rPr>
                <w:rFonts w:ascii="Times New Roman" w:hAnsi="Times New Roman"/>
                <w:color w:val="000000" w:themeColor="text1"/>
                <w:sz w:val="18"/>
                <w:szCs w:val="18"/>
              </w:rPr>
              <w:t>10</w:t>
            </w:r>
            <w:r w:rsidR="008B63CC">
              <w:rPr>
                <w:rFonts w:ascii="Times New Roman" w:hAnsi="Times New Roman"/>
                <w:color w:val="000000" w:themeColor="text1"/>
                <w:sz w:val="18"/>
                <w:szCs w:val="18"/>
              </w:rPr>
              <w:t>3</w:t>
            </w:r>
          </w:p>
        </w:tc>
        <w:tc>
          <w:tcPr>
            <w:tcW w:w="1440" w:type="dxa"/>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Schedule J.3</w:t>
            </w:r>
          </w:p>
        </w:tc>
        <w:tc>
          <w:tcPr>
            <w:tcW w:w="1440" w:type="dxa"/>
            <w:shd w:val="clear" w:color="auto" w:fill="auto"/>
          </w:tcPr>
          <w:p w:rsidR="00B476A5" w:rsidRPr="001A443A" w:rsidRDefault="00B476A5" w:rsidP="00B476A5">
            <w:pPr>
              <w:spacing w:before="60" w:after="60"/>
              <w:rPr>
                <w:color w:val="000000" w:themeColor="text1"/>
                <w:sz w:val="18"/>
                <w:szCs w:val="18"/>
              </w:rPr>
            </w:pPr>
          </w:p>
        </w:tc>
        <w:tc>
          <w:tcPr>
            <w:tcW w:w="990" w:type="dxa"/>
            <w:shd w:val="clear" w:color="auto" w:fill="auto"/>
          </w:tcPr>
          <w:p w:rsidR="00B476A5" w:rsidRPr="001A443A" w:rsidRDefault="00B476A5" w:rsidP="00B476A5">
            <w:pPr>
              <w:spacing w:before="60" w:after="60"/>
              <w:rPr>
                <w:color w:val="000000" w:themeColor="text1"/>
                <w:sz w:val="18"/>
                <w:szCs w:val="18"/>
              </w:rPr>
            </w:pPr>
          </w:p>
        </w:tc>
        <w:tc>
          <w:tcPr>
            <w:tcW w:w="3780" w:type="dxa"/>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The Service Level references Note 2, however, there is no Note 2 at bottom of the document.  Will the Commonwealth please clarify?</w:t>
            </w:r>
          </w:p>
        </w:tc>
        <w:tc>
          <w:tcPr>
            <w:tcW w:w="6120" w:type="dxa"/>
            <w:shd w:val="clear" w:color="auto" w:fill="auto"/>
          </w:tcPr>
          <w:p w:rsidR="00B476A5" w:rsidRPr="00B476A5" w:rsidRDefault="00B476A5" w:rsidP="00B476A5">
            <w:pPr>
              <w:pStyle w:val="NoSpacing"/>
              <w:spacing w:before="60" w:after="60"/>
              <w:rPr>
                <w:rFonts w:ascii="Times New Roman" w:hAnsi="Times New Roman"/>
                <w:strike/>
                <w:color w:val="FF0000"/>
                <w:sz w:val="18"/>
                <w:szCs w:val="18"/>
              </w:rPr>
            </w:pPr>
            <w:r w:rsidRPr="00B476A5">
              <w:rPr>
                <w:rFonts w:ascii="Times New Roman" w:hAnsi="Times New Roman"/>
                <w:strike/>
                <w:color w:val="FF0000"/>
                <w:sz w:val="18"/>
                <w:szCs w:val="18"/>
              </w:rPr>
              <w:t xml:space="preserve">There should not be a reference to Note 2.  </w:t>
            </w:r>
          </w:p>
          <w:p w:rsidR="00B476A5" w:rsidRPr="00C931D0" w:rsidRDefault="00B476A5" w:rsidP="00B476A5">
            <w:pPr>
              <w:rPr>
                <w:rFonts w:eastAsia="Times New Roman"/>
                <w:b/>
                <w:bCs/>
                <w:sz w:val="18"/>
                <w:szCs w:val="18"/>
              </w:rPr>
            </w:pPr>
            <w:r w:rsidRPr="00C931D0">
              <w:rPr>
                <w:rFonts w:eastAsia="Times New Roman"/>
                <w:b/>
                <w:bCs/>
                <w:sz w:val="18"/>
                <w:szCs w:val="18"/>
              </w:rPr>
              <w:t>Revised Answer:</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 xml:space="preserve">Schedule J.3 has been revised.  The following </w:t>
            </w:r>
            <w:r>
              <w:rPr>
                <w:rFonts w:ascii="Times New Roman" w:hAnsi="Times New Roman"/>
                <w:color w:val="000000" w:themeColor="text1"/>
                <w:sz w:val="18"/>
                <w:szCs w:val="18"/>
              </w:rPr>
              <w:t>exclusions have been identified in Note 2.</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Offeror’s failure to achieve any Service Level will not constitute a Service Level Default or accrue toward a Service Level Termination Event to the extent such failure is directly attributable to any of the following:</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 </w:t>
            </w:r>
            <w:r w:rsidRPr="00B476A5">
              <w:rPr>
                <w:rFonts w:ascii="Times New Roman" w:hAnsi="Times New Roman"/>
                <w:color w:val="000000" w:themeColor="text1"/>
                <w:sz w:val="18"/>
                <w:szCs w:val="18"/>
              </w:rPr>
              <w:t>the failure or unavailability of equipment or other resources for which the Commonwealth is operationally and managerially responsible pursuant to the Contract,</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 </w:t>
            </w:r>
            <w:r w:rsidRPr="00B476A5">
              <w:rPr>
                <w:rFonts w:ascii="Times New Roman" w:hAnsi="Times New Roman"/>
                <w:color w:val="000000" w:themeColor="text1"/>
                <w:sz w:val="18"/>
                <w:szCs w:val="18"/>
              </w:rPr>
              <w:t>changes made to the environment by the Commonwealth that were not communicated in accordance with the Change Control Procedure or other method agreed upon by the Parties, and</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(iii) </w:t>
            </w:r>
            <w:r w:rsidRPr="00B476A5">
              <w:rPr>
                <w:rFonts w:ascii="Times New Roman" w:hAnsi="Times New Roman"/>
                <w:color w:val="000000" w:themeColor="text1"/>
                <w:sz w:val="18"/>
                <w:szCs w:val="18"/>
              </w:rPr>
              <w:t>scheduled and approved maintenance windows.</w:t>
            </w:r>
          </w:p>
          <w:p w:rsidR="00B476A5" w:rsidRPr="001A443A" w:rsidRDefault="00B476A5" w:rsidP="00B476A5">
            <w:pPr>
              <w:pStyle w:val="NoSpacing"/>
              <w:spacing w:before="60" w:after="60"/>
              <w:rPr>
                <w:rFonts w:ascii="Times New Roman" w:hAnsi="Times New Roman"/>
                <w:color w:val="000000" w:themeColor="text1"/>
                <w:sz w:val="18"/>
                <w:szCs w:val="18"/>
              </w:rPr>
            </w:pPr>
          </w:p>
        </w:tc>
      </w:tr>
      <w:tr w:rsidR="00B476A5" w:rsidRPr="001A443A" w:rsidTr="00B476A5">
        <w:trPr>
          <w:cantSplit/>
        </w:trPr>
        <w:tc>
          <w:tcPr>
            <w:tcW w:w="990" w:type="dxa"/>
            <w:shd w:val="clear" w:color="auto" w:fill="auto"/>
          </w:tcPr>
          <w:p w:rsidR="00B476A5" w:rsidRPr="001A443A" w:rsidRDefault="00B476A5" w:rsidP="00B476A5">
            <w:pPr>
              <w:pStyle w:val="ListParagraph"/>
              <w:tabs>
                <w:tab w:val="left" w:pos="155"/>
              </w:tabs>
              <w:spacing w:before="60" w:after="60"/>
              <w:ind w:left="180"/>
              <w:rPr>
                <w:rFonts w:ascii="Times New Roman" w:hAnsi="Times New Roman"/>
                <w:color w:val="000000" w:themeColor="text1"/>
                <w:sz w:val="18"/>
                <w:szCs w:val="18"/>
              </w:rPr>
            </w:pPr>
            <w:r>
              <w:rPr>
                <w:rFonts w:ascii="Times New Roman" w:hAnsi="Times New Roman"/>
                <w:color w:val="000000" w:themeColor="text1"/>
                <w:sz w:val="18"/>
                <w:szCs w:val="18"/>
              </w:rPr>
              <w:t>10</w:t>
            </w:r>
            <w:r w:rsidR="008B63CC">
              <w:rPr>
                <w:rFonts w:ascii="Times New Roman" w:hAnsi="Times New Roman"/>
                <w:color w:val="000000" w:themeColor="text1"/>
                <w:sz w:val="18"/>
                <w:szCs w:val="18"/>
              </w:rPr>
              <w:t>4</w:t>
            </w:r>
          </w:p>
        </w:tc>
        <w:tc>
          <w:tcPr>
            <w:tcW w:w="1440" w:type="dxa"/>
            <w:shd w:val="clear" w:color="auto" w:fill="auto"/>
          </w:tcPr>
          <w:p w:rsidR="00B476A5" w:rsidRPr="001A443A" w:rsidRDefault="00B476A5" w:rsidP="00B476A5">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J.3</w:t>
            </w:r>
          </w:p>
        </w:tc>
        <w:tc>
          <w:tcPr>
            <w:tcW w:w="1440" w:type="dxa"/>
            <w:shd w:val="clear" w:color="auto" w:fill="auto"/>
          </w:tcPr>
          <w:p w:rsidR="00B476A5" w:rsidRPr="001A443A" w:rsidRDefault="00B476A5" w:rsidP="00B476A5">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Metric Exclusion for each SLA</w:t>
            </w:r>
          </w:p>
        </w:tc>
        <w:tc>
          <w:tcPr>
            <w:tcW w:w="990" w:type="dxa"/>
            <w:shd w:val="clear" w:color="auto" w:fill="auto"/>
          </w:tcPr>
          <w:p w:rsidR="00B476A5" w:rsidRPr="001A443A" w:rsidRDefault="00B476A5" w:rsidP="00B476A5">
            <w:pPr>
              <w:pStyle w:val="NoSpacing"/>
              <w:spacing w:before="60" w:after="60"/>
              <w:rPr>
                <w:rFonts w:ascii="Times New Roman" w:hAnsi="Times New Roman"/>
                <w:color w:val="000000" w:themeColor="text1"/>
                <w:sz w:val="18"/>
                <w:szCs w:val="18"/>
              </w:rPr>
            </w:pPr>
          </w:p>
        </w:tc>
        <w:tc>
          <w:tcPr>
            <w:tcW w:w="3780" w:type="dxa"/>
            <w:shd w:val="clear" w:color="auto" w:fill="auto"/>
          </w:tcPr>
          <w:p w:rsidR="00B476A5" w:rsidRPr="001A443A" w:rsidRDefault="00B476A5" w:rsidP="00B476A5">
            <w:pPr>
              <w:tabs>
                <w:tab w:val="left" w:pos="-720"/>
                <w:tab w:val="left" w:pos="0"/>
                <w:tab w:val="left" w:pos="720"/>
                <w:tab w:val="left" w:pos="1440"/>
                <w:tab w:val="left" w:pos="2160"/>
                <w:tab w:val="left" w:pos="2880"/>
                <w:tab w:val="left" w:pos="3600"/>
                <w:tab w:val="left" w:pos="4320"/>
              </w:tabs>
              <w:autoSpaceDE w:val="0"/>
              <w:autoSpaceDN w:val="0"/>
              <w:adjustRightInd w:val="0"/>
              <w:spacing w:before="60" w:after="60"/>
              <w:rPr>
                <w:color w:val="000000" w:themeColor="text1"/>
                <w:sz w:val="18"/>
                <w:szCs w:val="18"/>
              </w:rPr>
            </w:pPr>
            <w:r w:rsidRPr="001A443A">
              <w:rPr>
                <w:color w:val="000000" w:themeColor="text1"/>
                <w:sz w:val="18"/>
                <w:szCs w:val="18"/>
              </w:rPr>
              <w:t>There are multiple references to Note 2, which cannot be found in the document.</w:t>
            </w:r>
          </w:p>
        </w:tc>
        <w:tc>
          <w:tcPr>
            <w:tcW w:w="6120" w:type="dxa"/>
            <w:shd w:val="clear" w:color="auto" w:fill="auto"/>
          </w:tcPr>
          <w:p w:rsidR="00B476A5" w:rsidRPr="00B476A5" w:rsidRDefault="00B476A5" w:rsidP="00B476A5">
            <w:pPr>
              <w:pStyle w:val="NoSpacing"/>
              <w:spacing w:before="60" w:after="60"/>
              <w:rPr>
                <w:rFonts w:ascii="Times New Roman" w:hAnsi="Times New Roman"/>
                <w:strike/>
                <w:color w:val="FF0000"/>
                <w:sz w:val="18"/>
                <w:szCs w:val="18"/>
              </w:rPr>
            </w:pPr>
            <w:r w:rsidRPr="00B476A5">
              <w:rPr>
                <w:rFonts w:ascii="Times New Roman" w:hAnsi="Times New Roman"/>
                <w:strike/>
                <w:color w:val="FF0000"/>
                <w:sz w:val="18"/>
                <w:szCs w:val="18"/>
              </w:rPr>
              <w:t xml:space="preserve">There should not be a reference to Note 2.  </w:t>
            </w:r>
          </w:p>
          <w:p w:rsidR="00B476A5" w:rsidRPr="00C931D0" w:rsidRDefault="00B476A5" w:rsidP="00B476A5">
            <w:pPr>
              <w:rPr>
                <w:rFonts w:eastAsia="Times New Roman"/>
                <w:b/>
                <w:bCs/>
                <w:sz w:val="18"/>
                <w:szCs w:val="18"/>
              </w:rPr>
            </w:pPr>
            <w:r w:rsidRPr="00C931D0">
              <w:rPr>
                <w:rFonts w:eastAsia="Times New Roman"/>
                <w:b/>
                <w:bCs/>
                <w:sz w:val="18"/>
                <w:szCs w:val="18"/>
              </w:rPr>
              <w:t>Revised Answer:</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 xml:space="preserve">Schedule J.3 has been revised.  The following </w:t>
            </w:r>
            <w:r>
              <w:rPr>
                <w:rFonts w:ascii="Times New Roman" w:hAnsi="Times New Roman"/>
                <w:color w:val="000000" w:themeColor="text1"/>
                <w:sz w:val="18"/>
                <w:szCs w:val="18"/>
              </w:rPr>
              <w:t>exclusions have been identified in Note 2.</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Offeror’s failure to achieve any Service Level will not constitute a Service Level Default or accrue toward a Service Level Termination Event to the extent such failure is directly attributable to any of the following:</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 </w:t>
            </w:r>
            <w:r w:rsidRPr="00B476A5">
              <w:rPr>
                <w:rFonts w:ascii="Times New Roman" w:hAnsi="Times New Roman"/>
                <w:color w:val="000000" w:themeColor="text1"/>
                <w:sz w:val="18"/>
                <w:szCs w:val="18"/>
              </w:rPr>
              <w:t>the failure or unavailability of equipment or other resources for which the Commonwealth is operationally and managerially responsible pursuant to the Contract,</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 </w:t>
            </w:r>
            <w:r w:rsidRPr="00B476A5">
              <w:rPr>
                <w:rFonts w:ascii="Times New Roman" w:hAnsi="Times New Roman"/>
                <w:color w:val="000000" w:themeColor="text1"/>
                <w:sz w:val="18"/>
                <w:szCs w:val="18"/>
              </w:rPr>
              <w:t>changes made to the environment by the Commonwealth that were not communicated in accordance with the Change Control Procedure or other method agreed upon by the Parties, and</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(iii) </w:t>
            </w:r>
            <w:r w:rsidRPr="00B476A5">
              <w:rPr>
                <w:rFonts w:ascii="Times New Roman" w:hAnsi="Times New Roman"/>
                <w:color w:val="000000" w:themeColor="text1"/>
                <w:sz w:val="18"/>
                <w:szCs w:val="18"/>
              </w:rPr>
              <w:t>scheduled and approved maintenance windows.</w:t>
            </w:r>
          </w:p>
          <w:p w:rsidR="00B476A5" w:rsidRPr="001A443A" w:rsidRDefault="00B476A5" w:rsidP="00B476A5">
            <w:pPr>
              <w:pStyle w:val="NoSpacing"/>
              <w:spacing w:before="60" w:after="60"/>
              <w:rPr>
                <w:rFonts w:ascii="Times New Roman" w:hAnsi="Times New Roman"/>
                <w:color w:val="000000" w:themeColor="text1"/>
                <w:sz w:val="18"/>
                <w:szCs w:val="18"/>
              </w:rPr>
            </w:pPr>
          </w:p>
        </w:tc>
      </w:tr>
      <w:tr w:rsidR="00B476A5" w:rsidRPr="001A443A" w:rsidTr="00B476A5">
        <w:trPr>
          <w:cantSplit/>
        </w:trPr>
        <w:tc>
          <w:tcPr>
            <w:tcW w:w="990" w:type="dxa"/>
            <w:tcBorders>
              <w:top w:val="single" w:sz="4" w:space="0" w:color="auto"/>
              <w:left w:val="single" w:sz="4" w:space="0" w:color="auto"/>
              <w:bottom w:val="single" w:sz="4" w:space="0" w:color="auto"/>
              <w:right w:val="single" w:sz="4" w:space="0" w:color="auto"/>
            </w:tcBorders>
            <w:shd w:val="clear" w:color="auto" w:fill="auto"/>
          </w:tcPr>
          <w:p w:rsidR="00B476A5" w:rsidRPr="001A443A" w:rsidRDefault="00B476A5" w:rsidP="00B476A5">
            <w:pPr>
              <w:pStyle w:val="ListParagraph"/>
              <w:tabs>
                <w:tab w:val="left" w:pos="155"/>
              </w:tabs>
              <w:spacing w:before="60" w:after="60"/>
              <w:ind w:left="180"/>
              <w:rPr>
                <w:rFonts w:ascii="Times New Roman" w:hAnsi="Times New Roman"/>
                <w:color w:val="000000" w:themeColor="text1"/>
                <w:sz w:val="18"/>
                <w:szCs w:val="18"/>
              </w:rPr>
            </w:pPr>
            <w:r>
              <w:rPr>
                <w:rFonts w:ascii="Times New Roman" w:hAnsi="Times New Roman"/>
                <w:color w:val="000000" w:themeColor="text1"/>
                <w:sz w:val="18"/>
                <w:szCs w:val="18"/>
              </w:rPr>
              <w:t>10</w:t>
            </w:r>
            <w:r w:rsidR="008B63CC">
              <w:rPr>
                <w:rFonts w:ascii="Times New Roman" w:hAnsi="Times New Roman"/>
                <w:color w:val="000000" w:themeColor="text1"/>
                <w:sz w:val="18"/>
                <w:szCs w:val="18"/>
              </w:rPr>
              <w:t>5</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Schedule J.3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2</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5</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B476A5" w:rsidRPr="001A443A" w:rsidRDefault="00B476A5" w:rsidP="00B476A5">
            <w:pPr>
              <w:spacing w:before="60" w:after="60"/>
              <w:rPr>
                <w:color w:val="000000" w:themeColor="text1"/>
                <w:sz w:val="18"/>
                <w:szCs w:val="18"/>
              </w:rPr>
            </w:pPr>
            <w:r w:rsidRPr="001A443A">
              <w:rPr>
                <w:color w:val="000000" w:themeColor="text1"/>
                <w:sz w:val="18"/>
                <w:szCs w:val="18"/>
              </w:rPr>
              <w:t>“Metric Exclusions” states that “all items defined in Note 2 at the bottom of this Schedule J.3.”  We cannot find Note 2 in this Schedule?</w:t>
            </w:r>
          </w:p>
        </w:tc>
        <w:tc>
          <w:tcPr>
            <w:tcW w:w="6120" w:type="dxa"/>
            <w:tcBorders>
              <w:top w:val="single" w:sz="4" w:space="0" w:color="auto"/>
              <w:left w:val="single" w:sz="4" w:space="0" w:color="auto"/>
              <w:bottom w:val="single" w:sz="4" w:space="0" w:color="auto"/>
              <w:right w:val="single" w:sz="4" w:space="0" w:color="auto"/>
            </w:tcBorders>
            <w:shd w:val="clear" w:color="auto" w:fill="auto"/>
          </w:tcPr>
          <w:p w:rsidR="00B476A5" w:rsidRPr="00B476A5" w:rsidRDefault="00B476A5" w:rsidP="00B476A5">
            <w:pPr>
              <w:pStyle w:val="NoSpacing"/>
              <w:spacing w:before="60" w:after="60"/>
              <w:rPr>
                <w:rFonts w:ascii="Times New Roman" w:hAnsi="Times New Roman"/>
                <w:strike/>
                <w:color w:val="FF0000"/>
                <w:sz w:val="18"/>
                <w:szCs w:val="18"/>
              </w:rPr>
            </w:pPr>
            <w:r w:rsidRPr="00B476A5">
              <w:rPr>
                <w:rFonts w:ascii="Times New Roman" w:hAnsi="Times New Roman"/>
                <w:strike/>
                <w:color w:val="FF0000"/>
                <w:sz w:val="18"/>
                <w:szCs w:val="18"/>
              </w:rPr>
              <w:t xml:space="preserve">There should not be a reference to Note 2.  </w:t>
            </w:r>
          </w:p>
          <w:p w:rsidR="00B476A5" w:rsidRPr="00C931D0" w:rsidRDefault="00B476A5" w:rsidP="00B476A5">
            <w:pPr>
              <w:rPr>
                <w:rFonts w:eastAsia="Times New Roman"/>
                <w:b/>
                <w:bCs/>
                <w:sz w:val="18"/>
                <w:szCs w:val="18"/>
              </w:rPr>
            </w:pPr>
            <w:r w:rsidRPr="00C931D0">
              <w:rPr>
                <w:rFonts w:eastAsia="Times New Roman"/>
                <w:b/>
                <w:bCs/>
                <w:sz w:val="18"/>
                <w:szCs w:val="18"/>
              </w:rPr>
              <w:t>Revised Answer:</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 xml:space="preserve">Schedule J.3 has been revised.  The following </w:t>
            </w:r>
            <w:r>
              <w:rPr>
                <w:rFonts w:ascii="Times New Roman" w:hAnsi="Times New Roman"/>
                <w:color w:val="000000" w:themeColor="text1"/>
                <w:sz w:val="18"/>
                <w:szCs w:val="18"/>
              </w:rPr>
              <w:t>exclusions have been identified in Note 2.</w:t>
            </w:r>
          </w:p>
          <w:p w:rsidR="00B476A5" w:rsidRPr="00B476A5" w:rsidRDefault="00B476A5" w:rsidP="00B476A5">
            <w:pPr>
              <w:pStyle w:val="NoSpacing"/>
              <w:spacing w:before="60" w:after="60"/>
              <w:rPr>
                <w:rFonts w:ascii="Times New Roman" w:hAnsi="Times New Roman"/>
                <w:color w:val="000000" w:themeColor="text1"/>
                <w:sz w:val="18"/>
                <w:szCs w:val="18"/>
              </w:rPr>
            </w:pPr>
            <w:r w:rsidRPr="00B476A5">
              <w:rPr>
                <w:rFonts w:ascii="Times New Roman" w:hAnsi="Times New Roman"/>
                <w:color w:val="000000" w:themeColor="text1"/>
                <w:sz w:val="18"/>
                <w:szCs w:val="18"/>
              </w:rPr>
              <w:t>Offeror’s failure to achieve any Service Level will not constitute a Service Level Default or accrue toward a Service Level Termination Event to the extent such failure is directly attributable to any of the following:</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 </w:t>
            </w:r>
            <w:r w:rsidRPr="00B476A5">
              <w:rPr>
                <w:rFonts w:ascii="Times New Roman" w:hAnsi="Times New Roman"/>
                <w:color w:val="000000" w:themeColor="text1"/>
                <w:sz w:val="18"/>
                <w:szCs w:val="18"/>
              </w:rPr>
              <w:t>the failure or unavailability of equipment or other resources for which the Commonwealth is operationally and managerially responsible pursuant to the Contract,</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 </w:t>
            </w:r>
            <w:r w:rsidRPr="00B476A5">
              <w:rPr>
                <w:rFonts w:ascii="Times New Roman" w:hAnsi="Times New Roman"/>
                <w:color w:val="000000" w:themeColor="text1"/>
                <w:sz w:val="18"/>
                <w:szCs w:val="18"/>
              </w:rPr>
              <w:t>changes made to the environment by the Commonwealth that were not communicated in accordance with the Change Control Procedure or other method agreed upon by the Parties, and</w:t>
            </w:r>
          </w:p>
          <w:p w:rsidR="00B476A5" w:rsidRPr="00B476A5" w:rsidRDefault="00B476A5" w:rsidP="00B476A5">
            <w:pPr>
              <w:pStyle w:val="NoSpacing"/>
              <w:spacing w:before="60" w:after="60"/>
              <w:rPr>
                <w:rFonts w:ascii="Times New Roman" w:hAnsi="Times New Roman"/>
                <w:color w:val="000000" w:themeColor="text1"/>
                <w:sz w:val="18"/>
                <w:szCs w:val="18"/>
              </w:rPr>
            </w:pPr>
            <w:r>
              <w:rPr>
                <w:rFonts w:ascii="Times New Roman" w:hAnsi="Times New Roman"/>
                <w:color w:val="000000" w:themeColor="text1"/>
                <w:sz w:val="18"/>
                <w:szCs w:val="18"/>
              </w:rPr>
              <w:t xml:space="preserve">(iii) </w:t>
            </w:r>
            <w:r w:rsidRPr="00B476A5">
              <w:rPr>
                <w:rFonts w:ascii="Times New Roman" w:hAnsi="Times New Roman"/>
                <w:color w:val="000000" w:themeColor="text1"/>
                <w:sz w:val="18"/>
                <w:szCs w:val="18"/>
              </w:rPr>
              <w:t>scheduled and approved maintenance windows.</w:t>
            </w:r>
          </w:p>
          <w:p w:rsidR="00B476A5" w:rsidRPr="001A443A" w:rsidRDefault="00B476A5" w:rsidP="00B476A5">
            <w:pPr>
              <w:pStyle w:val="NoSpacing"/>
              <w:spacing w:before="60" w:after="60"/>
              <w:rPr>
                <w:rFonts w:ascii="Times New Roman" w:hAnsi="Times New Roman"/>
                <w:color w:val="000000" w:themeColor="text1"/>
                <w:sz w:val="18"/>
                <w:szCs w:val="18"/>
              </w:rPr>
            </w:pPr>
          </w:p>
        </w:tc>
      </w:tr>
    </w:tbl>
    <w:p w:rsidR="009C60D5" w:rsidRDefault="00B476A5" w:rsidP="00003895">
      <w:pPr>
        <w:pStyle w:val="NoSpacing"/>
        <w:rPr>
          <w:rFonts w:ascii="Times New Roman" w:hAnsi="Times New Roman"/>
          <w:color w:val="000000" w:themeColor="text1"/>
          <w:sz w:val="18"/>
          <w:szCs w:val="18"/>
        </w:rPr>
      </w:pPr>
      <w:r>
        <w:rPr>
          <w:rFonts w:ascii="Times New Roman" w:hAnsi="Times New Roman"/>
          <w:color w:val="000000" w:themeColor="text1"/>
          <w:sz w:val="18"/>
          <w:szCs w:val="18"/>
        </w:rPr>
        <w:br w:type="textWrapping" w:clear="all"/>
      </w:r>
    </w:p>
    <w:p w:rsidR="006D2C64" w:rsidRDefault="006D2C64" w:rsidP="00003895">
      <w:pPr>
        <w:pStyle w:val="NoSpacing"/>
        <w:rPr>
          <w:rFonts w:ascii="Times New Roman" w:hAnsi="Times New Roman"/>
          <w:color w:val="000000" w:themeColor="text1"/>
          <w:sz w:val="18"/>
          <w:szCs w:val="18"/>
        </w:rPr>
      </w:pPr>
    </w:p>
    <w:p w:rsidR="006D2C64" w:rsidRDefault="006D2C64" w:rsidP="00003895">
      <w:pPr>
        <w:pStyle w:val="NoSpacing"/>
        <w:rPr>
          <w:rFonts w:ascii="Times New Roman" w:hAnsi="Times New Roman"/>
          <w:color w:val="000000" w:themeColor="text1"/>
          <w:sz w:val="18"/>
          <w:szCs w:val="18"/>
        </w:rPr>
      </w:pPr>
    </w:p>
    <w:p w:rsidR="00B476A5" w:rsidRDefault="00B476A5" w:rsidP="00B476A5">
      <w:pPr>
        <w:pStyle w:val="NoSpacing"/>
        <w:rPr>
          <w:rFonts w:ascii="Times New Roman" w:hAnsi="Times New Roman"/>
          <w:color w:val="000000" w:themeColor="text1"/>
          <w:sz w:val="18"/>
          <w:szCs w:val="18"/>
        </w:rPr>
      </w:pPr>
      <w:r>
        <w:rPr>
          <w:rFonts w:ascii="Times New Roman" w:hAnsi="Times New Roman"/>
          <w:color w:val="000000" w:themeColor="text1"/>
          <w:sz w:val="18"/>
          <w:szCs w:val="18"/>
        </w:rPr>
        <w:t xml:space="preserve">Revised (original answers posted as Addendum 13 </w:t>
      </w:r>
      <w:r w:rsidR="004208AC">
        <w:rPr>
          <w:rFonts w:ascii="Times New Roman" w:hAnsi="Times New Roman"/>
          <w:color w:val="000000" w:themeColor="text1"/>
          <w:sz w:val="18"/>
          <w:szCs w:val="18"/>
        </w:rPr>
        <w:t xml:space="preserve">- </w:t>
      </w:r>
      <w:r>
        <w:rPr>
          <w:rFonts w:ascii="Times New Roman" w:hAnsi="Times New Roman"/>
          <w:color w:val="000000" w:themeColor="text1"/>
          <w:sz w:val="18"/>
          <w:szCs w:val="18"/>
        </w:rPr>
        <w:t>Additional Answers)</w:t>
      </w:r>
    </w:p>
    <w:tbl>
      <w:tblPr>
        <w:tblpPr w:leftFromText="180" w:rightFromText="180" w:vertAnchor="text" w:tblpX="108" w:tblpY="1"/>
        <w:tblOverlap w:val="never"/>
        <w:tblW w:w="14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1440"/>
        <w:gridCol w:w="1440"/>
        <w:gridCol w:w="990"/>
        <w:gridCol w:w="3780"/>
        <w:gridCol w:w="6120"/>
      </w:tblGrid>
      <w:tr w:rsidR="00F24D74" w:rsidRPr="005250E8" w:rsidTr="00F24D74">
        <w:tc>
          <w:tcPr>
            <w:tcW w:w="90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F24D74" w:rsidRPr="00F24D74" w:rsidRDefault="00F24D74" w:rsidP="00F24D74">
            <w:pPr>
              <w:rPr>
                <w:rFonts w:eastAsia="Times New Roman"/>
                <w:bCs/>
                <w:color w:val="000000"/>
                <w:sz w:val="18"/>
                <w:szCs w:val="18"/>
              </w:rPr>
            </w:pP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Doc</w:t>
            </w:r>
          </w:p>
        </w:tc>
        <w:tc>
          <w:tcPr>
            <w:tcW w:w="144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Sec</w:t>
            </w:r>
          </w:p>
        </w:tc>
        <w:tc>
          <w:tcPr>
            <w:tcW w:w="99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Pg</w:t>
            </w:r>
          </w:p>
        </w:tc>
        <w:tc>
          <w:tcPr>
            <w:tcW w:w="378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Question</w:t>
            </w:r>
          </w:p>
        </w:tc>
        <w:tc>
          <w:tcPr>
            <w:tcW w:w="612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F24D74" w:rsidRPr="00F24D74" w:rsidRDefault="00F24D74" w:rsidP="00F24D74">
            <w:pPr>
              <w:rPr>
                <w:rFonts w:eastAsia="Times New Roman"/>
                <w:bCs/>
                <w:color w:val="000000"/>
                <w:sz w:val="18"/>
                <w:szCs w:val="18"/>
              </w:rPr>
            </w:pPr>
            <w:r w:rsidRPr="00F24D74">
              <w:rPr>
                <w:rFonts w:eastAsia="Times New Roman"/>
                <w:bCs/>
                <w:color w:val="000000"/>
                <w:sz w:val="18"/>
                <w:szCs w:val="18"/>
              </w:rPr>
              <w:t>Answer</w:t>
            </w:r>
          </w:p>
        </w:tc>
      </w:tr>
    </w:tbl>
    <w:p w:rsidR="00F24D74" w:rsidRDefault="00F24D74" w:rsidP="00B476A5">
      <w:pPr>
        <w:pStyle w:val="NoSpacing"/>
        <w:rPr>
          <w:rFonts w:ascii="Times New Roman" w:hAnsi="Times New Roman"/>
          <w:color w:val="000000" w:themeColor="text1"/>
          <w:sz w:val="18"/>
          <w:szCs w:val="18"/>
        </w:rPr>
      </w:pPr>
    </w:p>
    <w:tbl>
      <w:tblPr>
        <w:tblW w:w="1468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15"/>
        <w:gridCol w:w="1440"/>
        <w:gridCol w:w="1440"/>
        <w:gridCol w:w="990"/>
        <w:gridCol w:w="3780"/>
        <w:gridCol w:w="6120"/>
      </w:tblGrid>
      <w:tr w:rsidR="00B476A5" w:rsidRPr="008A1635" w:rsidTr="00B476A5">
        <w:trPr>
          <w:cantSplit/>
          <w:trHeight w:val="960"/>
        </w:trPr>
        <w:tc>
          <w:tcPr>
            <w:tcW w:w="915" w:type="dxa"/>
            <w:shd w:val="clear" w:color="auto" w:fill="auto"/>
            <w:hideMark/>
          </w:tcPr>
          <w:p w:rsidR="00B476A5" w:rsidRPr="008A1635" w:rsidRDefault="00B476A5" w:rsidP="00B476A5">
            <w:pPr>
              <w:rPr>
                <w:rFonts w:eastAsia="Times New Roman"/>
                <w:color w:val="000000"/>
                <w:sz w:val="18"/>
                <w:szCs w:val="18"/>
              </w:rPr>
            </w:pPr>
            <w:r w:rsidRPr="008A1635">
              <w:rPr>
                <w:rFonts w:eastAsia="Times New Roman"/>
                <w:color w:val="000000"/>
                <w:sz w:val="18"/>
                <w:szCs w:val="18"/>
              </w:rPr>
              <w:t>1</w:t>
            </w:r>
          </w:p>
        </w:tc>
        <w:tc>
          <w:tcPr>
            <w:tcW w:w="1440" w:type="dxa"/>
            <w:shd w:val="clear" w:color="auto" w:fill="auto"/>
            <w:hideMark/>
          </w:tcPr>
          <w:p w:rsidR="00B476A5" w:rsidRPr="008A1635" w:rsidRDefault="00B476A5" w:rsidP="00B476A5">
            <w:pPr>
              <w:rPr>
                <w:rFonts w:eastAsia="Times New Roman"/>
                <w:color w:val="000000"/>
                <w:sz w:val="18"/>
                <w:szCs w:val="18"/>
              </w:rPr>
            </w:pPr>
            <w:r w:rsidRPr="008A1635">
              <w:rPr>
                <w:rFonts w:eastAsia="Times New Roman"/>
                <w:color w:val="000000"/>
                <w:sz w:val="18"/>
                <w:szCs w:val="18"/>
              </w:rPr>
              <w:t>Exhibit B.1</w:t>
            </w:r>
          </w:p>
        </w:tc>
        <w:tc>
          <w:tcPr>
            <w:tcW w:w="1440" w:type="dxa"/>
            <w:shd w:val="clear" w:color="auto" w:fill="auto"/>
            <w:hideMark/>
          </w:tcPr>
          <w:p w:rsidR="00B476A5" w:rsidRPr="008A1635" w:rsidRDefault="00B476A5" w:rsidP="00B476A5">
            <w:pPr>
              <w:rPr>
                <w:rFonts w:eastAsia="Times New Roman"/>
                <w:color w:val="000000"/>
                <w:sz w:val="18"/>
                <w:szCs w:val="18"/>
              </w:rPr>
            </w:pPr>
            <w:r w:rsidRPr="008A1635">
              <w:rPr>
                <w:rFonts w:eastAsia="Times New Roman"/>
                <w:color w:val="000000"/>
                <w:sz w:val="18"/>
                <w:szCs w:val="18"/>
              </w:rPr>
              <w:t> </w:t>
            </w:r>
          </w:p>
        </w:tc>
        <w:tc>
          <w:tcPr>
            <w:tcW w:w="990" w:type="dxa"/>
            <w:shd w:val="clear" w:color="auto" w:fill="auto"/>
            <w:hideMark/>
          </w:tcPr>
          <w:p w:rsidR="00B476A5" w:rsidRPr="008A1635" w:rsidRDefault="00B476A5" w:rsidP="00B476A5">
            <w:pPr>
              <w:rPr>
                <w:rFonts w:eastAsia="Times New Roman"/>
                <w:color w:val="000000"/>
                <w:sz w:val="18"/>
                <w:szCs w:val="18"/>
              </w:rPr>
            </w:pPr>
            <w:r w:rsidRPr="008A1635">
              <w:rPr>
                <w:rFonts w:eastAsia="Times New Roman"/>
                <w:color w:val="000000"/>
                <w:sz w:val="18"/>
                <w:szCs w:val="18"/>
              </w:rPr>
              <w:t> </w:t>
            </w:r>
          </w:p>
        </w:tc>
        <w:tc>
          <w:tcPr>
            <w:tcW w:w="3780" w:type="dxa"/>
            <w:shd w:val="clear" w:color="auto" w:fill="auto"/>
            <w:hideMark/>
          </w:tcPr>
          <w:p w:rsidR="00B476A5" w:rsidRPr="008A1635" w:rsidRDefault="00B476A5" w:rsidP="00B476A5">
            <w:pPr>
              <w:rPr>
                <w:rFonts w:eastAsia="Times New Roman"/>
                <w:color w:val="000000"/>
                <w:sz w:val="18"/>
                <w:szCs w:val="18"/>
              </w:rPr>
            </w:pPr>
            <w:r w:rsidRPr="008A1635">
              <w:rPr>
                <w:rFonts w:eastAsia="Times New Roman"/>
                <w:color w:val="000000"/>
                <w:sz w:val="18"/>
                <w:szCs w:val="18"/>
              </w:rPr>
              <w:t>Specific to PennDOT, is the intent to continue using the Tivoli Monitoring Environment on zLinux in the environment?      If so, can the specifics of that monitoring environment be provided?</w:t>
            </w:r>
          </w:p>
        </w:tc>
        <w:tc>
          <w:tcPr>
            <w:tcW w:w="6120" w:type="dxa"/>
            <w:shd w:val="clear" w:color="auto" w:fill="auto"/>
            <w:hideMark/>
          </w:tcPr>
          <w:p w:rsidR="00B476A5" w:rsidRDefault="00B476A5" w:rsidP="00B476A5">
            <w:pPr>
              <w:rPr>
                <w:rFonts w:eastAsia="Times New Roman"/>
                <w:strike/>
                <w:color w:val="FF0000"/>
                <w:sz w:val="18"/>
                <w:szCs w:val="18"/>
              </w:rPr>
            </w:pPr>
            <w:r w:rsidRPr="00B476A5">
              <w:rPr>
                <w:rFonts w:eastAsia="Times New Roman"/>
                <w:strike/>
                <w:color w:val="FF0000"/>
                <w:sz w:val="18"/>
                <w:szCs w:val="18"/>
              </w:rPr>
              <w:t>Yes, the intent is to continue using the Tivoli Monitoring Environment on zLinux.  Please see Exhibit B.7 - IBM MF SW Inventory v3 and Exhibit N.1 - PennDOT Monitoring for additional details.  These are confidential documents.  To receive a copy, please contact Sheryl Kimport, the Issuing Officer.</w:t>
            </w:r>
          </w:p>
          <w:p w:rsidR="00B476A5" w:rsidRDefault="00B476A5" w:rsidP="00B476A5">
            <w:pPr>
              <w:rPr>
                <w:rFonts w:eastAsia="Times New Roman"/>
                <w:strike/>
                <w:color w:val="FF0000"/>
                <w:sz w:val="18"/>
                <w:szCs w:val="18"/>
              </w:rPr>
            </w:pPr>
          </w:p>
          <w:p w:rsidR="00B476A5" w:rsidRPr="00C931D0" w:rsidRDefault="00B476A5" w:rsidP="00B476A5">
            <w:pPr>
              <w:rPr>
                <w:rFonts w:eastAsia="Times New Roman"/>
                <w:b/>
                <w:bCs/>
                <w:sz w:val="18"/>
                <w:szCs w:val="18"/>
              </w:rPr>
            </w:pPr>
            <w:r w:rsidRPr="00C931D0">
              <w:rPr>
                <w:rFonts w:eastAsia="Times New Roman"/>
                <w:b/>
                <w:bCs/>
                <w:sz w:val="18"/>
                <w:szCs w:val="18"/>
              </w:rPr>
              <w:t>Revised Answer:</w:t>
            </w:r>
          </w:p>
          <w:p w:rsidR="00B476A5" w:rsidRPr="00B476A5" w:rsidRDefault="00B476A5" w:rsidP="00B476A5">
            <w:pPr>
              <w:rPr>
                <w:rFonts w:eastAsia="Times New Roman"/>
                <w:color w:val="000000" w:themeColor="text1"/>
                <w:sz w:val="18"/>
                <w:szCs w:val="18"/>
              </w:rPr>
            </w:pPr>
            <w:r w:rsidRPr="00B476A5">
              <w:rPr>
                <w:rFonts w:eastAsia="Times New Roman"/>
                <w:color w:val="000000" w:themeColor="text1"/>
                <w:sz w:val="18"/>
                <w:szCs w:val="18"/>
              </w:rPr>
              <w:t>Yes, the intent is to continue using the Tivoli Monitoring Environment on zLinux.  Please see Exhibit B.7 - IBM MF SW Inventory v3 and Exhibit N.</w:t>
            </w:r>
            <w:r>
              <w:rPr>
                <w:rFonts w:eastAsia="Times New Roman"/>
                <w:color w:val="000000" w:themeColor="text1"/>
                <w:sz w:val="18"/>
                <w:szCs w:val="18"/>
              </w:rPr>
              <w:t>2</w:t>
            </w:r>
            <w:r w:rsidRPr="00B476A5">
              <w:rPr>
                <w:rFonts w:eastAsia="Times New Roman"/>
                <w:color w:val="000000" w:themeColor="text1"/>
                <w:sz w:val="18"/>
                <w:szCs w:val="18"/>
              </w:rPr>
              <w:t xml:space="preserve"> - PennDOT Monitoring for additional details.  These are confidential documents.  To receive a copy, please contact Sheryl Kimport, the Issuing Officer.</w:t>
            </w:r>
          </w:p>
          <w:p w:rsidR="00B476A5" w:rsidRPr="00B476A5" w:rsidRDefault="00B476A5" w:rsidP="00B476A5">
            <w:pPr>
              <w:rPr>
                <w:rFonts w:eastAsia="Times New Roman"/>
                <w:strike/>
                <w:color w:val="FF0000"/>
                <w:sz w:val="18"/>
                <w:szCs w:val="18"/>
              </w:rPr>
            </w:pPr>
          </w:p>
        </w:tc>
      </w:tr>
    </w:tbl>
    <w:p w:rsidR="00B476A5" w:rsidRDefault="00B476A5" w:rsidP="00003895">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p>
    <w:p w:rsidR="009A347A" w:rsidRDefault="009A347A" w:rsidP="009A347A">
      <w:pPr>
        <w:pStyle w:val="NoSpacing"/>
        <w:rPr>
          <w:rFonts w:ascii="Times New Roman" w:hAnsi="Times New Roman"/>
          <w:color w:val="000000" w:themeColor="text1"/>
          <w:sz w:val="18"/>
          <w:szCs w:val="18"/>
        </w:rPr>
      </w:pPr>
      <w:r>
        <w:rPr>
          <w:rFonts w:ascii="Times New Roman" w:hAnsi="Times New Roman"/>
          <w:color w:val="000000" w:themeColor="text1"/>
          <w:sz w:val="18"/>
          <w:szCs w:val="18"/>
        </w:rPr>
        <w:t xml:space="preserve">Revised (original answers posted as Addendum 7 </w:t>
      </w:r>
      <w:r w:rsidR="004208AC">
        <w:rPr>
          <w:rFonts w:ascii="Times New Roman" w:hAnsi="Times New Roman"/>
          <w:color w:val="000000" w:themeColor="text1"/>
          <w:sz w:val="18"/>
          <w:szCs w:val="18"/>
        </w:rPr>
        <w:t xml:space="preserve">- </w:t>
      </w:r>
      <w:r>
        <w:rPr>
          <w:rFonts w:ascii="Times New Roman" w:hAnsi="Times New Roman"/>
          <w:color w:val="000000" w:themeColor="text1"/>
          <w:sz w:val="18"/>
          <w:szCs w:val="18"/>
        </w:rPr>
        <w:t>Round 1, Part 3)</w:t>
      </w:r>
    </w:p>
    <w:tbl>
      <w:tblPr>
        <w:tblW w:w="1468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909"/>
        <w:gridCol w:w="1216"/>
        <w:gridCol w:w="1461"/>
        <w:gridCol w:w="996"/>
        <w:gridCol w:w="3983"/>
        <w:gridCol w:w="6120"/>
      </w:tblGrid>
      <w:tr w:rsidR="009A347A" w:rsidRPr="008156B5" w:rsidTr="009A347A">
        <w:trPr>
          <w:cantSplit/>
          <w:trHeight w:val="287"/>
        </w:trPr>
        <w:tc>
          <w:tcPr>
            <w:tcW w:w="909" w:type="dxa"/>
            <w:tcBorders>
              <w:top w:val="single" w:sz="4" w:space="0" w:color="auto"/>
              <w:bottom w:val="single" w:sz="6" w:space="0" w:color="auto"/>
            </w:tcBorders>
            <w:shd w:val="clear" w:color="auto" w:fill="B8CCE4" w:themeFill="accent1" w:themeFillTint="66"/>
            <w:vAlign w:val="center"/>
            <w:hideMark/>
          </w:tcPr>
          <w:p w:rsidR="009A347A" w:rsidRPr="00F24D74" w:rsidRDefault="009A347A" w:rsidP="009A347A">
            <w:pPr>
              <w:rPr>
                <w:rFonts w:eastAsia="Times New Roman"/>
                <w:bCs/>
                <w:color w:val="000000"/>
                <w:sz w:val="18"/>
                <w:szCs w:val="18"/>
              </w:rPr>
            </w:pPr>
          </w:p>
        </w:tc>
        <w:tc>
          <w:tcPr>
            <w:tcW w:w="1216" w:type="dxa"/>
            <w:tcBorders>
              <w:top w:val="single" w:sz="4" w:space="0" w:color="auto"/>
              <w:bottom w:val="single" w:sz="6" w:space="0" w:color="auto"/>
            </w:tcBorders>
            <w:shd w:val="clear" w:color="auto" w:fill="B8CCE4" w:themeFill="accent1" w:themeFillTint="66"/>
            <w:hideMark/>
          </w:tcPr>
          <w:p w:rsidR="009A347A" w:rsidRPr="00F24D74" w:rsidRDefault="009A347A" w:rsidP="009A347A">
            <w:pPr>
              <w:rPr>
                <w:rFonts w:eastAsia="Times New Roman"/>
                <w:bCs/>
                <w:color w:val="000000"/>
                <w:sz w:val="18"/>
                <w:szCs w:val="18"/>
              </w:rPr>
            </w:pPr>
            <w:r w:rsidRPr="00F24D74">
              <w:rPr>
                <w:rFonts w:eastAsia="Times New Roman"/>
                <w:bCs/>
                <w:color w:val="000000"/>
                <w:sz w:val="18"/>
                <w:szCs w:val="18"/>
              </w:rPr>
              <w:t>Doc</w:t>
            </w:r>
          </w:p>
        </w:tc>
        <w:tc>
          <w:tcPr>
            <w:tcW w:w="1461" w:type="dxa"/>
            <w:tcBorders>
              <w:top w:val="single" w:sz="4" w:space="0" w:color="auto"/>
              <w:bottom w:val="single" w:sz="6" w:space="0" w:color="auto"/>
            </w:tcBorders>
            <w:shd w:val="clear" w:color="auto" w:fill="B8CCE4" w:themeFill="accent1" w:themeFillTint="66"/>
            <w:hideMark/>
          </w:tcPr>
          <w:p w:rsidR="009A347A" w:rsidRPr="00F24D74" w:rsidRDefault="009A347A" w:rsidP="009A347A">
            <w:pPr>
              <w:rPr>
                <w:rFonts w:eastAsia="Times New Roman"/>
                <w:bCs/>
                <w:color w:val="000000"/>
                <w:sz w:val="18"/>
                <w:szCs w:val="18"/>
              </w:rPr>
            </w:pPr>
            <w:r w:rsidRPr="00F24D74">
              <w:rPr>
                <w:rFonts w:eastAsia="Times New Roman"/>
                <w:bCs/>
                <w:color w:val="000000"/>
                <w:sz w:val="18"/>
                <w:szCs w:val="18"/>
              </w:rPr>
              <w:t>Sec</w:t>
            </w:r>
          </w:p>
        </w:tc>
        <w:tc>
          <w:tcPr>
            <w:tcW w:w="996" w:type="dxa"/>
            <w:tcBorders>
              <w:top w:val="single" w:sz="4" w:space="0" w:color="auto"/>
              <w:bottom w:val="single" w:sz="6" w:space="0" w:color="auto"/>
            </w:tcBorders>
            <w:shd w:val="clear" w:color="auto" w:fill="B8CCE4" w:themeFill="accent1" w:themeFillTint="66"/>
            <w:hideMark/>
          </w:tcPr>
          <w:p w:rsidR="009A347A" w:rsidRPr="00F24D74" w:rsidRDefault="009A347A" w:rsidP="009A347A">
            <w:pPr>
              <w:rPr>
                <w:rFonts w:eastAsia="Times New Roman"/>
                <w:bCs/>
                <w:color w:val="000000"/>
                <w:sz w:val="18"/>
                <w:szCs w:val="18"/>
              </w:rPr>
            </w:pPr>
            <w:r w:rsidRPr="00F24D74">
              <w:rPr>
                <w:rFonts w:eastAsia="Times New Roman"/>
                <w:bCs/>
                <w:color w:val="000000"/>
                <w:sz w:val="18"/>
                <w:szCs w:val="18"/>
              </w:rPr>
              <w:t>Pg</w:t>
            </w:r>
          </w:p>
        </w:tc>
        <w:tc>
          <w:tcPr>
            <w:tcW w:w="3983" w:type="dxa"/>
            <w:tcBorders>
              <w:top w:val="single" w:sz="4" w:space="0" w:color="auto"/>
              <w:bottom w:val="single" w:sz="6" w:space="0" w:color="auto"/>
            </w:tcBorders>
            <w:shd w:val="clear" w:color="auto" w:fill="B8CCE4" w:themeFill="accent1" w:themeFillTint="66"/>
            <w:hideMark/>
          </w:tcPr>
          <w:p w:rsidR="009A347A" w:rsidRPr="00F24D74" w:rsidRDefault="009A347A" w:rsidP="009A347A">
            <w:pPr>
              <w:rPr>
                <w:rFonts w:eastAsia="Times New Roman"/>
                <w:bCs/>
                <w:color w:val="000000"/>
                <w:sz w:val="18"/>
                <w:szCs w:val="18"/>
              </w:rPr>
            </w:pPr>
            <w:r w:rsidRPr="00F24D74">
              <w:rPr>
                <w:rFonts w:eastAsia="Times New Roman"/>
                <w:bCs/>
                <w:color w:val="000000"/>
                <w:sz w:val="18"/>
                <w:szCs w:val="18"/>
              </w:rPr>
              <w:t>Question</w:t>
            </w:r>
          </w:p>
        </w:tc>
        <w:tc>
          <w:tcPr>
            <w:tcW w:w="6120" w:type="dxa"/>
            <w:tcBorders>
              <w:top w:val="single" w:sz="4" w:space="0" w:color="auto"/>
              <w:bottom w:val="single" w:sz="6" w:space="0" w:color="auto"/>
            </w:tcBorders>
            <w:shd w:val="clear" w:color="auto" w:fill="B8CCE4" w:themeFill="accent1" w:themeFillTint="66"/>
            <w:hideMark/>
          </w:tcPr>
          <w:p w:rsidR="009A347A" w:rsidRPr="00F24D74" w:rsidRDefault="009A347A" w:rsidP="009A347A">
            <w:pPr>
              <w:rPr>
                <w:rFonts w:eastAsia="Times New Roman"/>
                <w:bCs/>
                <w:color w:val="000000"/>
                <w:sz w:val="18"/>
                <w:szCs w:val="18"/>
              </w:rPr>
            </w:pPr>
            <w:r w:rsidRPr="00F24D74">
              <w:rPr>
                <w:rFonts w:eastAsia="Times New Roman"/>
                <w:bCs/>
                <w:color w:val="000000"/>
                <w:sz w:val="18"/>
                <w:szCs w:val="18"/>
              </w:rPr>
              <w:t>Answer</w:t>
            </w:r>
          </w:p>
        </w:tc>
      </w:tr>
      <w:tr w:rsidR="009A347A" w:rsidRPr="008156B5" w:rsidTr="009A347A">
        <w:trPr>
          <w:cantSplit/>
          <w:trHeight w:val="3120"/>
        </w:trPr>
        <w:tc>
          <w:tcPr>
            <w:tcW w:w="909" w:type="dxa"/>
            <w:tcBorders>
              <w:top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45</w:t>
            </w:r>
          </w:p>
        </w:tc>
        <w:tc>
          <w:tcPr>
            <w:tcW w:w="1216" w:type="dxa"/>
            <w:tcBorders>
              <w:top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Request for Proposal</w:t>
            </w:r>
          </w:p>
        </w:tc>
        <w:tc>
          <w:tcPr>
            <w:tcW w:w="1461" w:type="dxa"/>
            <w:tcBorders>
              <w:top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III-4,C.1</w:t>
            </w:r>
          </w:p>
        </w:tc>
        <w:tc>
          <w:tcPr>
            <w:tcW w:w="996" w:type="dxa"/>
            <w:tcBorders>
              <w:top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25</w:t>
            </w:r>
          </w:p>
        </w:tc>
        <w:tc>
          <w:tcPr>
            <w:tcW w:w="3983" w:type="dxa"/>
            <w:tcBorders>
              <w:top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Section C describes “Small Diverse Business (SDB) Participation”.  Section C.1 states that a business submitting a proposal as a prime contractor must perform “60% of the total contract value” to receive points for this criterion under “any” priority ranking.    Does the 60% requirement stated in this section only apply to SDB that are priming this opportunity or does the 60% requirement apply to all primes contractors?    If this statement applies to all prime contractors, please confirm that no SDB points will be awarded unless the prime contractor directly performs at least 60% of the total contract value of opportunity.</w:t>
            </w:r>
          </w:p>
        </w:tc>
        <w:tc>
          <w:tcPr>
            <w:tcW w:w="6120" w:type="dxa"/>
            <w:tcBorders>
              <w:top w:val="single" w:sz="6" w:space="0" w:color="auto"/>
            </w:tcBorders>
            <w:shd w:val="clear" w:color="auto" w:fill="auto"/>
            <w:hideMark/>
          </w:tcPr>
          <w:p w:rsidR="009A347A" w:rsidRDefault="009A347A" w:rsidP="009A347A">
            <w:pPr>
              <w:rPr>
                <w:rFonts w:eastAsia="Times New Roman"/>
                <w:strike/>
                <w:color w:val="FF0000"/>
                <w:sz w:val="18"/>
                <w:szCs w:val="18"/>
              </w:rPr>
            </w:pPr>
            <w:r w:rsidRPr="009A347A">
              <w:rPr>
                <w:rFonts w:eastAsia="Times New Roman"/>
                <w:strike/>
                <w:color w:val="FF0000"/>
                <w:sz w:val="18"/>
                <w:szCs w:val="18"/>
              </w:rPr>
              <w:t>The 60% requirement stated in Part III-4 applies to all prime contractors.  No SDB points will be awarded to an Offeror unless the company serving as the prime contractor directly performs at least 60% of the total contract value.</w:t>
            </w:r>
          </w:p>
          <w:p w:rsidR="009A347A" w:rsidRDefault="009A347A" w:rsidP="009A347A">
            <w:pPr>
              <w:rPr>
                <w:rFonts w:eastAsia="Times New Roman"/>
                <w:strike/>
                <w:color w:val="FF0000"/>
                <w:sz w:val="18"/>
                <w:szCs w:val="18"/>
              </w:rPr>
            </w:pPr>
          </w:p>
          <w:p w:rsidR="009A347A" w:rsidRDefault="009A347A" w:rsidP="009A347A">
            <w:pPr>
              <w:rPr>
                <w:rFonts w:eastAsia="Times New Roman"/>
                <w:strike/>
                <w:color w:val="FF0000"/>
                <w:sz w:val="18"/>
                <w:szCs w:val="18"/>
              </w:rPr>
            </w:pPr>
          </w:p>
          <w:p w:rsidR="009A347A" w:rsidRPr="00C931D0" w:rsidRDefault="009A347A" w:rsidP="009A347A">
            <w:pPr>
              <w:rPr>
                <w:rFonts w:eastAsia="Times New Roman"/>
                <w:b/>
                <w:bCs/>
                <w:sz w:val="18"/>
                <w:szCs w:val="18"/>
              </w:rPr>
            </w:pPr>
            <w:r w:rsidRPr="00C931D0">
              <w:rPr>
                <w:rFonts w:eastAsia="Times New Roman"/>
                <w:b/>
                <w:bCs/>
                <w:sz w:val="18"/>
                <w:szCs w:val="18"/>
              </w:rPr>
              <w:t>Revised Answer:</w:t>
            </w:r>
          </w:p>
          <w:p w:rsidR="009A347A" w:rsidRPr="009A347A" w:rsidRDefault="009A347A" w:rsidP="009A347A">
            <w:pPr>
              <w:rPr>
                <w:rFonts w:eastAsia="Times New Roman"/>
                <w:color w:val="000000" w:themeColor="text1"/>
                <w:sz w:val="18"/>
                <w:szCs w:val="18"/>
              </w:rPr>
            </w:pPr>
            <w:r w:rsidRPr="009A347A">
              <w:rPr>
                <w:rFonts w:eastAsia="Times New Roman"/>
                <w:color w:val="000000" w:themeColor="text1"/>
                <w:sz w:val="18"/>
                <w:szCs w:val="18"/>
              </w:rPr>
              <w:t xml:space="preserve">The 60% requirement in Part III-4 has been deleted and Part II-9 of the RFP has been revised.  </w:t>
            </w:r>
          </w:p>
        </w:tc>
      </w:tr>
      <w:tr w:rsidR="009A347A" w:rsidRPr="008A1635" w:rsidTr="009A347A">
        <w:trPr>
          <w:cantSplit/>
          <w:trHeight w:val="3120"/>
        </w:trPr>
        <w:tc>
          <w:tcPr>
            <w:tcW w:w="909" w:type="dxa"/>
            <w:tcBorders>
              <w:top w:val="single" w:sz="6" w:space="0" w:color="auto"/>
              <w:left w:val="single" w:sz="4" w:space="0" w:color="auto"/>
              <w:bottom w:val="single" w:sz="4" w:space="0" w:color="auto"/>
              <w:right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29</w:t>
            </w:r>
          </w:p>
        </w:tc>
        <w:tc>
          <w:tcPr>
            <w:tcW w:w="1216" w:type="dxa"/>
            <w:tcBorders>
              <w:top w:val="single" w:sz="6" w:space="0" w:color="auto"/>
              <w:left w:val="single" w:sz="6" w:space="0" w:color="auto"/>
              <w:bottom w:val="single" w:sz="4" w:space="0" w:color="auto"/>
              <w:right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Appendix A</w:t>
            </w:r>
          </w:p>
        </w:tc>
        <w:tc>
          <w:tcPr>
            <w:tcW w:w="1461" w:type="dxa"/>
            <w:tcBorders>
              <w:top w:val="single" w:sz="6" w:space="0" w:color="auto"/>
              <w:left w:val="single" w:sz="6" w:space="0" w:color="auto"/>
              <w:bottom w:val="single" w:sz="4" w:space="0" w:color="auto"/>
              <w:right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79</w:t>
            </w:r>
          </w:p>
        </w:tc>
        <w:tc>
          <w:tcPr>
            <w:tcW w:w="996" w:type="dxa"/>
            <w:tcBorders>
              <w:top w:val="single" w:sz="6" w:space="0" w:color="auto"/>
              <w:left w:val="single" w:sz="6" w:space="0" w:color="auto"/>
              <w:bottom w:val="single" w:sz="4" w:space="0" w:color="auto"/>
              <w:right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93</w:t>
            </w:r>
          </w:p>
        </w:tc>
        <w:tc>
          <w:tcPr>
            <w:tcW w:w="3983" w:type="dxa"/>
            <w:tcBorders>
              <w:top w:val="single" w:sz="6" w:space="0" w:color="auto"/>
              <w:left w:val="single" w:sz="6" w:space="0" w:color="auto"/>
              <w:bottom w:val="single" w:sz="4" w:space="0" w:color="auto"/>
              <w:right w:val="single" w:sz="6" w:space="0" w:color="auto"/>
            </w:tcBorders>
            <w:shd w:val="clear" w:color="auto" w:fill="auto"/>
            <w:hideMark/>
          </w:tcPr>
          <w:p w:rsidR="009A347A" w:rsidRPr="008A1635" w:rsidRDefault="009A347A" w:rsidP="009A347A">
            <w:pPr>
              <w:rPr>
                <w:rFonts w:eastAsia="Times New Roman"/>
                <w:color w:val="000000"/>
                <w:sz w:val="18"/>
                <w:szCs w:val="18"/>
              </w:rPr>
            </w:pPr>
            <w:r w:rsidRPr="008A1635">
              <w:rPr>
                <w:rFonts w:eastAsia="Times New Roman"/>
                <w:color w:val="000000"/>
                <w:sz w:val="18"/>
                <w:szCs w:val="18"/>
              </w:rPr>
              <w:t>The Commonwealth has stated its requirement for fees to increase or decrease dependent on the volume consumed or variation in scope. Without a committed minimum participation or a long-range forecast of the variability of Commonwealth needs, how can a vendor commit to a fixed and ongoing financial participation to a small diverse business that may be providing these services?</w:t>
            </w:r>
          </w:p>
        </w:tc>
        <w:tc>
          <w:tcPr>
            <w:tcW w:w="6120" w:type="dxa"/>
            <w:tcBorders>
              <w:top w:val="single" w:sz="6" w:space="0" w:color="auto"/>
              <w:left w:val="single" w:sz="6" w:space="0" w:color="auto"/>
              <w:bottom w:val="single" w:sz="4" w:space="0" w:color="auto"/>
              <w:right w:val="single" w:sz="4" w:space="0" w:color="auto"/>
            </w:tcBorders>
            <w:shd w:val="clear" w:color="auto" w:fill="auto"/>
            <w:hideMark/>
          </w:tcPr>
          <w:p w:rsidR="009A347A" w:rsidRDefault="009A347A" w:rsidP="009A347A">
            <w:pPr>
              <w:rPr>
                <w:rFonts w:eastAsia="Times New Roman"/>
                <w:strike/>
                <w:color w:val="FF0000"/>
                <w:sz w:val="18"/>
                <w:szCs w:val="18"/>
              </w:rPr>
            </w:pPr>
            <w:r w:rsidRPr="009A347A">
              <w:rPr>
                <w:rFonts w:eastAsia="Times New Roman"/>
                <w:strike/>
                <w:color w:val="FF0000"/>
                <w:sz w:val="18"/>
                <w:szCs w:val="18"/>
              </w:rPr>
              <w:t xml:space="preserve">Offerors must include a numerical percentage which represents the total percentage of the Total Base Term in the Cost Submittal that the Offeror commits to paying to Small Diverse Businesses (SDBs) as subcontractors.  Per section IV of the RFP, the selected contractor’s commitments to Small Diverse Businesses made at the time of proposal submittal or contract negotiation shall, to the extent so provided in the commitment, be maintained throughout the term of the contract and through any renewal or extension of the contract </w:t>
            </w:r>
          </w:p>
          <w:p w:rsidR="009A347A" w:rsidRDefault="009A347A" w:rsidP="009A347A">
            <w:pPr>
              <w:rPr>
                <w:rFonts w:eastAsia="Times New Roman"/>
                <w:strike/>
                <w:color w:val="FF0000"/>
                <w:sz w:val="18"/>
                <w:szCs w:val="18"/>
              </w:rPr>
            </w:pPr>
          </w:p>
          <w:p w:rsidR="009A347A" w:rsidRPr="00C931D0" w:rsidRDefault="009A347A" w:rsidP="009A347A">
            <w:pPr>
              <w:rPr>
                <w:rFonts w:eastAsia="Times New Roman"/>
                <w:b/>
                <w:bCs/>
                <w:sz w:val="18"/>
                <w:szCs w:val="18"/>
              </w:rPr>
            </w:pPr>
            <w:r w:rsidRPr="00C931D0">
              <w:rPr>
                <w:rFonts w:eastAsia="Times New Roman"/>
                <w:b/>
                <w:bCs/>
                <w:sz w:val="18"/>
                <w:szCs w:val="18"/>
              </w:rPr>
              <w:t>Revised Answer:</w:t>
            </w:r>
          </w:p>
          <w:p w:rsidR="009A347A" w:rsidRPr="009A347A" w:rsidRDefault="009A347A" w:rsidP="009A347A">
            <w:pPr>
              <w:rPr>
                <w:rFonts w:eastAsia="Times New Roman"/>
                <w:color w:val="000000" w:themeColor="text1"/>
                <w:sz w:val="18"/>
                <w:szCs w:val="18"/>
              </w:rPr>
            </w:pPr>
            <w:r w:rsidRPr="009A347A">
              <w:rPr>
                <w:rFonts w:eastAsia="Times New Roman"/>
                <w:color w:val="000000" w:themeColor="text1"/>
                <w:sz w:val="18"/>
                <w:szCs w:val="18"/>
              </w:rPr>
              <w:t>Part II-9 of the RFP has been revised.</w:t>
            </w:r>
          </w:p>
        </w:tc>
      </w:tr>
    </w:tbl>
    <w:p w:rsidR="004863AE" w:rsidRDefault="004863AE">
      <w:pPr>
        <w:rPr>
          <w:color w:val="000000" w:themeColor="text1"/>
          <w:sz w:val="18"/>
          <w:szCs w:val="18"/>
        </w:rPr>
      </w:pPr>
    </w:p>
    <w:p w:rsidR="004863AE" w:rsidRDefault="004863AE">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6D2C64" w:rsidRDefault="006D2C64">
      <w:pPr>
        <w:rPr>
          <w:color w:val="000000" w:themeColor="text1"/>
          <w:sz w:val="18"/>
          <w:szCs w:val="18"/>
        </w:rPr>
      </w:pPr>
    </w:p>
    <w:p w:rsidR="00E21E6F" w:rsidRPr="009C60D5" w:rsidRDefault="009C60D5" w:rsidP="00003895">
      <w:pPr>
        <w:pStyle w:val="NoSpacing"/>
        <w:rPr>
          <w:rFonts w:ascii="Times New Roman" w:hAnsi="Times New Roman"/>
          <w:b/>
          <w:color w:val="000000" w:themeColor="text1"/>
          <w:sz w:val="18"/>
          <w:szCs w:val="18"/>
        </w:rPr>
      </w:pPr>
      <w:r>
        <w:rPr>
          <w:b/>
          <w:i/>
        </w:rPr>
        <w:t>New Answers</w:t>
      </w:r>
      <w:r w:rsidRPr="009C60D5">
        <w:rPr>
          <w:rFonts w:ascii="Times New Roman" w:hAnsi="Times New Roman"/>
          <w:b/>
          <w:color w:val="000000" w:themeColor="text1"/>
          <w:sz w:val="18"/>
          <w:szCs w:val="18"/>
        </w:rPr>
        <w:br w:type="textWrapping" w:clear="all"/>
      </w:r>
    </w:p>
    <w:tbl>
      <w:tblPr>
        <w:tblW w:w="16280" w:type="dxa"/>
        <w:tblInd w:w="97" w:type="dxa"/>
        <w:tblLook w:val="04A0"/>
      </w:tblPr>
      <w:tblGrid>
        <w:gridCol w:w="799"/>
        <w:gridCol w:w="1843"/>
        <w:gridCol w:w="1390"/>
        <w:gridCol w:w="1886"/>
        <w:gridCol w:w="4187"/>
        <w:gridCol w:w="6175"/>
      </w:tblGrid>
      <w:tr w:rsidR="007C4BDF" w:rsidRPr="007C4BDF" w:rsidTr="007C4BDF">
        <w:trPr>
          <w:trHeight w:val="240"/>
        </w:trPr>
        <w:tc>
          <w:tcPr>
            <w:tcW w:w="837"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7C4BDF" w:rsidRPr="007C4BDF" w:rsidRDefault="007C4BDF" w:rsidP="007C4BDF">
            <w:pPr>
              <w:jc w:val="center"/>
              <w:rPr>
                <w:rFonts w:eastAsia="Times New Roman"/>
                <w:b/>
                <w:bCs/>
                <w:color w:val="000000"/>
                <w:sz w:val="18"/>
                <w:szCs w:val="18"/>
              </w:rPr>
            </w:pPr>
            <w:r w:rsidRPr="007C4BDF">
              <w:rPr>
                <w:rFonts w:eastAsia="Times New Roman"/>
                <w:b/>
                <w:bCs/>
                <w:color w:val="000000"/>
                <w:sz w:val="18"/>
                <w:szCs w:val="18"/>
              </w:rPr>
              <w:t> </w:t>
            </w:r>
          </w:p>
        </w:tc>
        <w:tc>
          <w:tcPr>
            <w:tcW w:w="1900" w:type="dxa"/>
            <w:tcBorders>
              <w:top w:val="single" w:sz="4" w:space="0" w:color="auto"/>
              <w:left w:val="nil"/>
              <w:bottom w:val="single" w:sz="4" w:space="0" w:color="auto"/>
              <w:right w:val="single" w:sz="4" w:space="0" w:color="auto"/>
            </w:tcBorders>
            <w:shd w:val="clear" w:color="000000" w:fill="DBE5F1"/>
            <w:vAlign w:val="center"/>
            <w:hideMark/>
          </w:tcPr>
          <w:p w:rsidR="007C4BDF" w:rsidRPr="007C4BDF" w:rsidRDefault="007C4BDF" w:rsidP="007C4BDF">
            <w:pPr>
              <w:jc w:val="center"/>
              <w:rPr>
                <w:rFonts w:eastAsia="Times New Roman"/>
                <w:b/>
                <w:bCs/>
                <w:color w:val="000000"/>
                <w:sz w:val="18"/>
                <w:szCs w:val="18"/>
              </w:rPr>
            </w:pPr>
            <w:r w:rsidRPr="007C4BDF">
              <w:rPr>
                <w:rFonts w:eastAsia="Times New Roman"/>
                <w:b/>
                <w:bCs/>
                <w:color w:val="000000"/>
                <w:sz w:val="18"/>
                <w:szCs w:val="18"/>
              </w:rPr>
              <w:t>Doc</w:t>
            </w:r>
          </w:p>
        </w:tc>
        <w:tc>
          <w:tcPr>
            <w:tcW w:w="1390" w:type="dxa"/>
            <w:tcBorders>
              <w:top w:val="single" w:sz="4" w:space="0" w:color="auto"/>
              <w:left w:val="nil"/>
              <w:bottom w:val="single" w:sz="4" w:space="0" w:color="auto"/>
              <w:right w:val="single" w:sz="4" w:space="0" w:color="auto"/>
            </w:tcBorders>
            <w:shd w:val="clear" w:color="000000" w:fill="DBE5F1"/>
            <w:vAlign w:val="center"/>
            <w:hideMark/>
          </w:tcPr>
          <w:p w:rsidR="007C4BDF" w:rsidRPr="007C4BDF" w:rsidRDefault="007C4BDF" w:rsidP="007C4BDF">
            <w:pPr>
              <w:jc w:val="center"/>
              <w:rPr>
                <w:rFonts w:eastAsia="Times New Roman"/>
                <w:b/>
                <w:bCs/>
                <w:color w:val="000000"/>
                <w:sz w:val="18"/>
                <w:szCs w:val="18"/>
              </w:rPr>
            </w:pPr>
            <w:r w:rsidRPr="007C4BDF">
              <w:rPr>
                <w:rFonts w:eastAsia="Times New Roman"/>
                <w:b/>
                <w:bCs/>
                <w:color w:val="000000"/>
                <w:sz w:val="18"/>
                <w:szCs w:val="18"/>
              </w:rPr>
              <w:t>Sec</w:t>
            </w:r>
          </w:p>
        </w:tc>
        <w:tc>
          <w:tcPr>
            <w:tcW w:w="1692" w:type="dxa"/>
            <w:tcBorders>
              <w:top w:val="single" w:sz="4" w:space="0" w:color="auto"/>
              <w:left w:val="nil"/>
              <w:bottom w:val="single" w:sz="4" w:space="0" w:color="auto"/>
              <w:right w:val="single" w:sz="4" w:space="0" w:color="auto"/>
            </w:tcBorders>
            <w:shd w:val="clear" w:color="000000" w:fill="DBE5F1"/>
            <w:vAlign w:val="center"/>
            <w:hideMark/>
          </w:tcPr>
          <w:p w:rsidR="007C4BDF" w:rsidRPr="007C4BDF" w:rsidRDefault="007C4BDF" w:rsidP="007C4BDF">
            <w:pPr>
              <w:jc w:val="center"/>
              <w:rPr>
                <w:rFonts w:eastAsia="Times New Roman"/>
                <w:b/>
                <w:bCs/>
                <w:color w:val="000000"/>
                <w:sz w:val="18"/>
                <w:szCs w:val="18"/>
              </w:rPr>
            </w:pPr>
            <w:r w:rsidRPr="007C4BDF">
              <w:rPr>
                <w:rFonts w:eastAsia="Times New Roman"/>
                <w:b/>
                <w:bCs/>
                <w:color w:val="000000"/>
                <w:sz w:val="18"/>
                <w:szCs w:val="18"/>
              </w:rPr>
              <w:t>Pg</w:t>
            </w:r>
          </w:p>
        </w:tc>
        <w:tc>
          <w:tcPr>
            <w:tcW w:w="4480" w:type="dxa"/>
            <w:tcBorders>
              <w:top w:val="single" w:sz="4" w:space="0" w:color="auto"/>
              <w:left w:val="nil"/>
              <w:bottom w:val="single" w:sz="4" w:space="0" w:color="auto"/>
              <w:right w:val="single" w:sz="4" w:space="0" w:color="auto"/>
            </w:tcBorders>
            <w:shd w:val="clear" w:color="000000" w:fill="DBE5F1"/>
            <w:hideMark/>
          </w:tcPr>
          <w:p w:rsidR="007C4BDF" w:rsidRPr="007C4BDF" w:rsidRDefault="007C4BDF" w:rsidP="007C4BDF">
            <w:pPr>
              <w:rPr>
                <w:rFonts w:eastAsia="Times New Roman"/>
                <w:b/>
                <w:bCs/>
                <w:color w:val="000000"/>
                <w:sz w:val="18"/>
                <w:szCs w:val="18"/>
              </w:rPr>
            </w:pPr>
            <w:r w:rsidRPr="007C4BDF">
              <w:rPr>
                <w:rFonts w:eastAsia="Times New Roman"/>
                <w:b/>
                <w:bCs/>
                <w:color w:val="000000"/>
                <w:sz w:val="18"/>
                <w:szCs w:val="18"/>
              </w:rPr>
              <w:t>Question</w:t>
            </w:r>
          </w:p>
        </w:tc>
        <w:tc>
          <w:tcPr>
            <w:tcW w:w="5981" w:type="dxa"/>
            <w:tcBorders>
              <w:top w:val="single" w:sz="4" w:space="0" w:color="auto"/>
              <w:left w:val="nil"/>
              <w:bottom w:val="single" w:sz="4" w:space="0" w:color="auto"/>
              <w:right w:val="single" w:sz="4" w:space="0" w:color="auto"/>
            </w:tcBorders>
            <w:shd w:val="clear" w:color="000000" w:fill="C5D9F1"/>
            <w:hideMark/>
          </w:tcPr>
          <w:p w:rsidR="007C4BDF" w:rsidRPr="007C4BDF" w:rsidRDefault="007C4BDF" w:rsidP="007C4BDF">
            <w:pPr>
              <w:rPr>
                <w:rFonts w:eastAsia="Times New Roman"/>
                <w:b/>
                <w:bCs/>
                <w:color w:val="000000"/>
                <w:sz w:val="18"/>
                <w:szCs w:val="18"/>
              </w:rPr>
            </w:pPr>
            <w:r w:rsidRPr="007C4BDF">
              <w:rPr>
                <w:rFonts w:eastAsia="Times New Roman"/>
                <w:b/>
                <w:bCs/>
                <w:color w:val="000000"/>
                <w:sz w:val="18"/>
                <w:szCs w:val="18"/>
              </w:rPr>
              <w:t>Answer</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3.2.4.3</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Page 105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clarify the intent of the ERP Hosting requirement. Does the requirement include SAP Basis support and technical application support for the Oracle Application software, or does the Commonwealth intend to retain technical application support for these items? If technical application support is to be included, is it the Commonwealth’s intent to treat ERP Hosting as an optional service?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Schedule F Section 3.2.5.4 Additional Technical Services has been revised to include Basis and SAP Oracle support resources.</w:t>
            </w:r>
            <w:r w:rsidRPr="007C4BDF">
              <w:rPr>
                <w:rFonts w:eastAsia="Times New Roman"/>
                <w:color w:val="000000"/>
                <w:sz w:val="18"/>
                <w:szCs w:val="18"/>
              </w:rPr>
              <w:br/>
            </w:r>
            <w:r w:rsidRPr="007C4BDF">
              <w:rPr>
                <w:rFonts w:eastAsia="Times New Roman"/>
                <w:color w:val="000000"/>
                <w:sz w:val="18"/>
                <w:szCs w:val="18"/>
              </w:rPr>
              <w:br/>
              <w:t xml:space="preserve">ERP infrastructure hosting is a required service of this RFP.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  Schedule 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assistance can be expected from the incumbent supplier during Transition?  Who funds such assistance?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Under its contract the incumbent contractor is required to provide transition assistance.  The selected Offeror will not be responsible to fund such assistance.  </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  Schedule I Offeror Pricing Forms  Schedule J.1</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There appear to be differences in storage support definitions between the SOW and Schedule I.  The SOW sets forth Basic, Committed and Dedicated in section 3.1.3 on p. 20.  Schedule I mentions Tier 1, 2 and 3 are associated with service levels and indicates these are defined in Schedule J.1, but they are not.  However, Config 1, 2 and 3 is defined in Schedule I.  Could the Commonwealth please reconcile?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For purposes of submitting proposals Offerors should assume the Configurations listed in Schedule I - Offeror Pricing Forms are Dedicated.  Schedule I has been revised to remove the “Tier” references from Enterprise Storage.  Offerors should also include pricing in Schedule I Catalog of Services for Basic and Committed.      </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EDC tour  Exhibit D.7 EDC Facility Summary and Requirements  Facilities - Architecture</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regularly scheduled full function / failure / back-up tests of the electrical systems performed?      If yes, can test results be provided for review?</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 Yes.</w:t>
            </w:r>
            <w:r w:rsidRPr="007C4BDF">
              <w:rPr>
                <w:rFonts w:eastAsia="Times New Roman"/>
                <w:color w:val="000000"/>
                <w:sz w:val="18"/>
                <w:szCs w:val="18"/>
              </w:rPr>
              <w:br/>
            </w:r>
            <w:r w:rsidRPr="007C4BDF">
              <w:rPr>
                <w:rFonts w:eastAsia="Times New Roman"/>
                <w:color w:val="000000"/>
                <w:sz w:val="18"/>
                <w:szCs w:val="18"/>
              </w:rPr>
              <w:br/>
              <w:t xml:space="preserve">The results are provided in Exhibit D.15 - EDC Electrical System Testing Results.  This document is confidential and to receive a copy, please contacts Sheryl Kimport Issuing Officer of IT Procurement.  </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3.1.3 Datacenter Architecture and Technology</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18-21</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a.  Is the expectation that the Offeror will provide an out-of-region solution, so CoPA will not be affected by a regional disaster?  </w:t>
            </w:r>
            <w:r w:rsidRPr="007C4BDF">
              <w:rPr>
                <w:rFonts w:eastAsia="Times New Roman"/>
                <w:color w:val="000000"/>
                <w:sz w:val="18"/>
                <w:szCs w:val="18"/>
              </w:rPr>
              <w:br/>
              <w:t xml:space="preserve">b. Concerning the Disaster Recovery Exhibit, does CoPA have documented RPOs and RTOs for its critical applications?  </w:t>
            </w:r>
            <w:r w:rsidRPr="007C4BDF">
              <w:rPr>
                <w:rFonts w:eastAsia="Times New Roman"/>
                <w:color w:val="000000"/>
                <w:sz w:val="18"/>
                <w:szCs w:val="18"/>
              </w:rPr>
              <w:br/>
              <w:t xml:space="preserve">c.  Can CoPA provide a list of applications with documented dependencies? </w:t>
            </w:r>
            <w:r w:rsidRPr="007C4BDF">
              <w:rPr>
                <w:rFonts w:eastAsia="Times New Roman"/>
                <w:color w:val="000000"/>
                <w:sz w:val="18"/>
                <w:szCs w:val="18"/>
              </w:rPr>
              <w:br/>
              <w:t xml:space="preserve">d.  This list, if it exists, was it gathered manually or through the application of automation?  </w:t>
            </w:r>
            <w:r w:rsidRPr="007C4BDF">
              <w:rPr>
                <w:rFonts w:eastAsia="Times New Roman"/>
                <w:color w:val="000000"/>
                <w:sz w:val="18"/>
                <w:szCs w:val="18"/>
              </w:rPr>
              <w:br/>
              <w:t xml:space="preserve">e.  Can CoPA elaborate on their requirements for the “tiers of service” they expect, the volumes of applications they apply to, and the associated RTO / RPO’s?  </w:t>
            </w:r>
            <w:r w:rsidRPr="007C4BDF">
              <w:rPr>
                <w:rFonts w:eastAsia="Times New Roman"/>
                <w:color w:val="000000"/>
                <w:sz w:val="18"/>
                <w:szCs w:val="18"/>
              </w:rPr>
              <w:br/>
              <w:t xml:space="preserve">f.  Is the Offeror expected to document an overall resiliency strategy and design as a part of due diligence so that each tier of service has been adequately designed into the data center architecture?  </w:t>
            </w:r>
            <w:r w:rsidRPr="007C4BDF">
              <w:rPr>
                <w:rFonts w:eastAsia="Times New Roman"/>
                <w:color w:val="000000"/>
                <w:sz w:val="18"/>
                <w:szCs w:val="18"/>
              </w:rPr>
              <w:br/>
              <w:t xml:space="preserve">g.  Is the Offeror expected to document an overall resiliency strategy and design as a part of due diligence so that each tier of service has been adequately defined?  </w:t>
            </w:r>
            <w:r w:rsidRPr="007C4BDF">
              <w:rPr>
                <w:rFonts w:eastAsia="Times New Roman"/>
                <w:color w:val="000000"/>
                <w:sz w:val="18"/>
                <w:szCs w:val="18"/>
              </w:rPr>
              <w:br/>
              <w:t>h.  Is the Offeror responsible to develop effective disaster recovery, business continuity and crisis plans as well as conduct testing during due diligence for the critical applications?</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 The purpose of a 2+ datacenter configuration and requiring a minimum of 50 miles between datacenters is intended to mitigate the impact of a regional disaster.</w:t>
            </w:r>
            <w:r w:rsidRPr="007C4BDF">
              <w:rPr>
                <w:rFonts w:eastAsia="Times New Roman"/>
                <w:color w:val="000000"/>
                <w:sz w:val="18"/>
                <w:szCs w:val="18"/>
              </w:rPr>
              <w:br/>
            </w:r>
            <w:r w:rsidRPr="007C4BDF">
              <w:rPr>
                <w:rFonts w:eastAsia="Times New Roman"/>
                <w:color w:val="000000"/>
                <w:sz w:val="18"/>
                <w:szCs w:val="18"/>
              </w:rPr>
              <w:br/>
              <w:t xml:space="preserve">b. See Exhibit B.9 – DPH – Recovery Time Objectives for a list of RTOs for applications in the DPH.  The Commonwealth does not have RPO documentation. This information will be documented as part of the discovery process in transition planning.  </w:t>
            </w:r>
            <w:r w:rsidRPr="007C4BDF">
              <w:rPr>
                <w:rFonts w:eastAsia="Times New Roman"/>
                <w:color w:val="000000"/>
                <w:sz w:val="18"/>
                <w:szCs w:val="18"/>
              </w:rPr>
              <w:br/>
            </w:r>
            <w:r w:rsidRPr="007C4BDF">
              <w:rPr>
                <w:rFonts w:eastAsia="Times New Roman"/>
                <w:color w:val="000000"/>
                <w:sz w:val="18"/>
                <w:szCs w:val="18"/>
              </w:rPr>
              <w:br/>
              <w:t>Exhibit B.9 – DPH – Recovery Time Objectives is a confidential document.  To receive a copy, please contact Sheryl Kimport, the Issuing Officer.</w:t>
            </w:r>
            <w:r w:rsidRPr="007C4BDF">
              <w:rPr>
                <w:rFonts w:eastAsia="Times New Roman"/>
                <w:color w:val="000000"/>
                <w:sz w:val="18"/>
                <w:szCs w:val="18"/>
              </w:rPr>
              <w:br/>
            </w:r>
            <w:r w:rsidRPr="007C4BDF">
              <w:rPr>
                <w:rFonts w:eastAsia="Times New Roman"/>
                <w:color w:val="000000"/>
                <w:sz w:val="18"/>
                <w:szCs w:val="18"/>
              </w:rPr>
              <w:br/>
              <w:t>c. Application dependencies will be documented as part of the discovery process in transition planning.</w:t>
            </w:r>
            <w:r w:rsidRPr="007C4BDF">
              <w:rPr>
                <w:rFonts w:eastAsia="Times New Roman"/>
                <w:color w:val="000000"/>
                <w:sz w:val="18"/>
                <w:szCs w:val="18"/>
              </w:rPr>
              <w:br/>
              <w:t xml:space="preserve"> </w:t>
            </w:r>
            <w:r w:rsidRPr="007C4BDF">
              <w:rPr>
                <w:rFonts w:eastAsia="Times New Roman"/>
                <w:color w:val="000000"/>
                <w:sz w:val="18"/>
                <w:szCs w:val="18"/>
              </w:rPr>
              <w:br/>
              <w:t>d. See answer to c.</w:t>
            </w:r>
            <w:r w:rsidRPr="007C4BDF">
              <w:rPr>
                <w:rFonts w:eastAsia="Times New Roman"/>
                <w:color w:val="000000"/>
                <w:sz w:val="18"/>
                <w:szCs w:val="18"/>
              </w:rPr>
              <w:br/>
              <w:t xml:space="preserve">  </w:t>
            </w:r>
            <w:r w:rsidRPr="007C4BDF">
              <w:rPr>
                <w:rFonts w:eastAsia="Times New Roman"/>
                <w:color w:val="000000"/>
                <w:sz w:val="18"/>
                <w:szCs w:val="18"/>
              </w:rPr>
              <w:br/>
              <w:t xml:space="preserve">e. Section 3.1.3 of schedule F refers to "Multi-Tiered Storage Management".  It is defined in section 3.1.3 as: </w:t>
            </w:r>
            <w:r w:rsidRPr="007C4BDF">
              <w:rPr>
                <w:rFonts w:eastAsia="Times New Roman"/>
                <w:color w:val="000000"/>
                <w:sz w:val="18"/>
                <w:szCs w:val="18"/>
              </w:rPr>
              <w:br/>
            </w:r>
            <w:r w:rsidRPr="007C4BDF">
              <w:rPr>
                <w:rFonts w:eastAsia="Times New Roman"/>
                <w:color w:val="000000"/>
                <w:sz w:val="18"/>
                <w:szCs w:val="18"/>
              </w:rPr>
              <w:br/>
              <w:t>• Basic – based on Pay-As-You-Go allocation model with no upfront resource allocation and resources are reserved on demand per workload.  (shared, multitenant)</w:t>
            </w:r>
            <w:r w:rsidRPr="007C4BDF">
              <w:rPr>
                <w:rFonts w:eastAsia="Times New Roman"/>
                <w:color w:val="000000"/>
                <w:sz w:val="18"/>
                <w:szCs w:val="18"/>
              </w:rPr>
              <w:br/>
            </w:r>
            <w:r w:rsidRPr="007C4BDF">
              <w:rPr>
                <w:rFonts w:eastAsia="Times New Roman"/>
                <w:color w:val="000000"/>
                <w:sz w:val="18"/>
                <w:szCs w:val="18"/>
              </w:rPr>
              <w:br/>
              <w:t>• Committed – based on Allocation Pool allocation model which gives a minimal initial commitment of resources plus the ability to burst above that minimum if additional capacity is needed – usually a percentage of resources reserved for agency with over-allocation.  (shared, multitenant)</w:t>
            </w:r>
            <w:r w:rsidRPr="007C4BDF">
              <w:rPr>
                <w:rFonts w:eastAsia="Times New Roman"/>
                <w:color w:val="000000"/>
                <w:sz w:val="18"/>
                <w:szCs w:val="18"/>
              </w:rPr>
              <w:br/>
            </w:r>
            <w:r w:rsidRPr="007C4BDF">
              <w:rPr>
                <w:rFonts w:eastAsia="Times New Roman"/>
                <w:color w:val="000000"/>
                <w:sz w:val="18"/>
                <w:szCs w:val="18"/>
              </w:rPr>
              <w:br/>
              <w:t>• Dedicated – based on Reservation Pool allocation model – 100% of resources are reservation–guaranteed.  (dedicated, single tenant)</w:t>
            </w:r>
            <w:r w:rsidRPr="007C4BDF">
              <w:rPr>
                <w:rFonts w:eastAsia="Times New Roman"/>
                <w:color w:val="000000"/>
                <w:sz w:val="18"/>
                <w:szCs w:val="18"/>
              </w:rPr>
              <w:br/>
            </w:r>
            <w:r w:rsidRPr="007C4BDF">
              <w:rPr>
                <w:rFonts w:eastAsia="Times New Roman"/>
                <w:color w:val="000000"/>
                <w:sz w:val="18"/>
                <w:szCs w:val="18"/>
              </w:rPr>
              <w:br/>
              <w:t xml:space="preserve">The Commonwealth cannot provide the volume of applications these tiers apply to.  The Commonwealth has established multiple scenarios of infrastructure configurations specifically for pricing evaluation, as set forth in Schedule I.    The Volumetrics in Schedule I will be used to evaluate Offerors’ cost proposals and are not a minimum commitment or an all inclusive representation of every service desired by the Commonwealth.   </w:t>
            </w:r>
            <w:r w:rsidRPr="007C4BDF">
              <w:rPr>
                <w:rFonts w:eastAsia="Times New Roman"/>
                <w:color w:val="000000"/>
                <w:sz w:val="18"/>
                <w:szCs w:val="18"/>
              </w:rPr>
              <w:br/>
            </w:r>
            <w:r w:rsidRPr="007C4BDF">
              <w:rPr>
                <w:rFonts w:eastAsia="Times New Roman"/>
                <w:color w:val="000000"/>
                <w:sz w:val="18"/>
                <w:szCs w:val="18"/>
              </w:rPr>
              <w:br/>
              <w:t>See answer to b. for RTO/RPOs.</w:t>
            </w:r>
            <w:r w:rsidRPr="007C4BDF">
              <w:rPr>
                <w:rFonts w:eastAsia="Times New Roman"/>
                <w:color w:val="000000"/>
                <w:sz w:val="18"/>
                <w:szCs w:val="18"/>
              </w:rPr>
              <w:br/>
            </w:r>
            <w:r w:rsidRPr="007C4BDF">
              <w:rPr>
                <w:rFonts w:eastAsia="Times New Roman"/>
                <w:color w:val="000000"/>
                <w:sz w:val="18"/>
                <w:szCs w:val="18"/>
              </w:rPr>
              <w:br/>
              <w:t>Any additional information needed will be documented as part of the discovery process in transition planning.</w:t>
            </w:r>
            <w:r w:rsidRPr="007C4BDF">
              <w:rPr>
                <w:rFonts w:eastAsia="Times New Roman"/>
                <w:color w:val="000000"/>
                <w:sz w:val="18"/>
                <w:szCs w:val="18"/>
              </w:rPr>
              <w:br/>
            </w:r>
            <w:r w:rsidRPr="007C4BDF">
              <w:rPr>
                <w:rFonts w:eastAsia="Times New Roman"/>
                <w:color w:val="000000"/>
                <w:sz w:val="18"/>
                <w:szCs w:val="18"/>
              </w:rPr>
              <w:br/>
              <w:t>f. Yes, the Offeror is expect</w:t>
            </w:r>
            <w:r>
              <w:rPr>
                <w:rFonts w:eastAsia="Times New Roman"/>
                <w:color w:val="000000"/>
                <w:sz w:val="18"/>
                <w:szCs w:val="18"/>
              </w:rPr>
              <w:t>ed</w:t>
            </w:r>
            <w:r w:rsidRPr="007C4BDF">
              <w:rPr>
                <w:rFonts w:eastAsia="Times New Roman"/>
                <w:color w:val="000000"/>
                <w:sz w:val="18"/>
                <w:szCs w:val="18"/>
              </w:rPr>
              <w:t xml:space="preserve"> to document an overall resiliency strategy and design, so that each tier of services has been adequately designed into the data center architecture. The strategy and design must be reviewed and approved by the Commonwealth prior to implementation. </w:t>
            </w:r>
            <w:r w:rsidRPr="007C4BDF">
              <w:rPr>
                <w:rFonts w:eastAsia="Times New Roman"/>
                <w:color w:val="000000"/>
                <w:sz w:val="18"/>
                <w:szCs w:val="18"/>
              </w:rPr>
              <w:br/>
              <w:t xml:space="preserve"> </w:t>
            </w:r>
            <w:r w:rsidRPr="007C4BDF">
              <w:rPr>
                <w:rFonts w:eastAsia="Times New Roman"/>
                <w:color w:val="000000"/>
                <w:sz w:val="18"/>
                <w:szCs w:val="18"/>
              </w:rPr>
              <w:br/>
              <w:t>g. See answer to f.</w:t>
            </w:r>
            <w:r w:rsidRPr="007C4BDF">
              <w:rPr>
                <w:rFonts w:eastAsia="Times New Roman"/>
                <w:color w:val="000000"/>
                <w:sz w:val="18"/>
                <w:szCs w:val="18"/>
              </w:rPr>
              <w:br/>
              <w:t xml:space="preserve"> </w:t>
            </w:r>
            <w:r w:rsidRPr="007C4BDF">
              <w:rPr>
                <w:rFonts w:eastAsia="Times New Roman"/>
                <w:color w:val="000000"/>
                <w:sz w:val="18"/>
                <w:szCs w:val="18"/>
              </w:rPr>
              <w:br/>
              <w:t>h.  Yes, See section 15. Disaster Recovery and Business Continuity of Appendix A.</w:t>
            </w:r>
          </w:p>
        </w:tc>
      </w:tr>
      <w:tr w:rsidR="007C4BDF" w:rsidRPr="007C4BDF" w:rsidTr="007C4BDF">
        <w:trPr>
          <w:trHeight w:val="36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3.2.5 Capacity on Demand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133-141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a.        Does CoPA desire to better manage their capacity plan by having an online data backup capability that can flex as the information requirements expand over the next several years so capacity at the production centers does not have to be added? </w:t>
            </w:r>
            <w:r w:rsidRPr="007C4BDF">
              <w:rPr>
                <w:rFonts w:eastAsia="Times New Roman"/>
                <w:color w:val="000000"/>
                <w:sz w:val="18"/>
                <w:szCs w:val="18"/>
              </w:rPr>
              <w:br/>
              <w:t xml:space="preserve"> Does CoPA have detailed knowledge of their data access patterns to provide to a vendor who can then determine what data is eligible to move from tape to online storage, at a lower cost with greater backup recovery success rates then tape? </w:t>
            </w:r>
            <w:r w:rsidRPr="007C4BDF">
              <w:rPr>
                <w:rFonts w:eastAsia="Times New Roman"/>
                <w:color w:val="000000"/>
                <w:sz w:val="18"/>
                <w:szCs w:val="18"/>
              </w:rPr>
              <w:br/>
              <w:t xml:space="preserve"> Does CoPA have a written archiving policy, and does it currently move fixed data regularly to lower cost storage?  </w:t>
            </w:r>
            <w:r w:rsidRPr="007C4BDF">
              <w:rPr>
                <w:rFonts w:eastAsia="Times New Roman"/>
                <w:color w:val="000000"/>
                <w:sz w:val="18"/>
                <w:szCs w:val="18"/>
              </w:rPr>
              <w:br/>
              <w:t>Does CoPA have a requirement for Virtual Server Recovery outside of the primary geography?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  The Commonwealth seeks the best solution for capacity planning.  Offerors should include the services they offer in their technical proposal and as part of Schedule I tab 10. Catalog of Services.</w:t>
            </w:r>
            <w:r w:rsidRPr="007C4BDF">
              <w:rPr>
                <w:rFonts w:eastAsia="Times New Roman"/>
                <w:color w:val="000000"/>
                <w:sz w:val="18"/>
                <w:szCs w:val="18"/>
              </w:rPr>
              <w:br/>
            </w:r>
            <w:r w:rsidRPr="007C4BDF">
              <w:rPr>
                <w:rFonts w:eastAsia="Times New Roman"/>
                <w:color w:val="000000"/>
                <w:sz w:val="18"/>
                <w:szCs w:val="18"/>
              </w:rPr>
              <w:br/>
              <w:t>b. No, the Commonwealth does not have data access patterns to provide to an Offeror.    The Commonwealth will work with the selected Offeror to determine the best solution when selecting services from the Service Catalog.</w:t>
            </w:r>
            <w:r w:rsidRPr="007C4BDF">
              <w:rPr>
                <w:rFonts w:eastAsia="Times New Roman"/>
                <w:color w:val="000000"/>
                <w:sz w:val="18"/>
                <w:szCs w:val="18"/>
              </w:rPr>
              <w:br/>
            </w:r>
            <w:r w:rsidRPr="007C4BDF">
              <w:rPr>
                <w:rFonts w:eastAsia="Times New Roman"/>
                <w:color w:val="000000"/>
                <w:sz w:val="18"/>
                <w:szCs w:val="18"/>
              </w:rPr>
              <w:br/>
              <w:t>c. The Commonwealth currently has a written archiving policy.  Fixed data is currently moved regularly to lower cost storage.</w:t>
            </w:r>
            <w:r w:rsidRPr="007C4BDF">
              <w:rPr>
                <w:rFonts w:eastAsia="Times New Roman"/>
                <w:color w:val="000000"/>
                <w:sz w:val="18"/>
                <w:szCs w:val="18"/>
              </w:rPr>
              <w:br/>
            </w:r>
            <w:r w:rsidRPr="007C4BDF">
              <w:rPr>
                <w:rFonts w:eastAsia="Times New Roman"/>
                <w:color w:val="000000"/>
                <w:sz w:val="18"/>
                <w:szCs w:val="18"/>
              </w:rPr>
              <w:br/>
              <w:t>d. Please clarify or provide example defining "Virtual Server Recovery outside of the primary geography"</w:t>
            </w:r>
          </w:p>
        </w:tc>
      </w:tr>
      <w:tr w:rsidR="007C4BDF" w:rsidRPr="007C4BDF" w:rsidTr="007C4BDF">
        <w:trPr>
          <w:trHeight w:val="26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Request for Proposal</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are agency schedule needs accommodated in the instance where those needs will delay or cause the delay in deliverables and milestones?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Identifying these impacts is to be part of the transition planning and need to be taken into consideration by the Offerors in their planning. The agencies have several regularly scheduled "No Maintenance" periods every year.  See Exhibit O - 2012 Agency NMRs for the No Maintenance periods that occurred during 2012.  See  Exhibit R - Transition Considerations for information on identified considerations which could impact transition planning.</w:t>
            </w:r>
            <w:r w:rsidRPr="007C4BDF">
              <w:rPr>
                <w:rFonts w:eastAsia="Times New Roman"/>
                <w:color w:val="000000"/>
                <w:sz w:val="18"/>
                <w:szCs w:val="18"/>
              </w:rPr>
              <w:br/>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Appendix A</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This section states “At its sole cost and expense, Contractor shall maintain the Commonwealth Machines and shall replace each Commonwealth Machine at its respective end of life or as otherwise required to provide the Services.” Will the Commonwealth be providing details on purchase date, warranty, and “end of life” for all systems currently owned by the Commonwealth that will be assumed under this contract?</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Exhibit D.1 - EDC - Server Inventory and Exhibit D.14 - EDC Hardware Warranty Information provide information on warranty and maintenance for the equipment in the EDC.  Any additional information needed will be documented as part of the discovery process in transition planning.  The EDC is the only datacenter which the Offeror will take operational control.  </w:t>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43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Appendix A  Exhibit D.7</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13(b)</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16-18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are the typical calendar/schedule limitations for major facility or system work? What are any lockdown/blackout periods?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Identifying schedule limitations for major facility or system work will occur during transition planning</w:t>
            </w:r>
            <w:r>
              <w:rPr>
                <w:rFonts w:eastAsia="Times New Roman"/>
                <w:color w:val="000000"/>
                <w:sz w:val="18"/>
                <w:szCs w:val="18"/>
              </w:rPr>
              <w:t>.</w:t>
            </w:r>
            <w:r>
              <w:rPr>
                <w:rFonts w:eastAsia="Times New Roman"/>
                <w:color w:val="000000"/>
                <w:sz w:val="18"/>
                <w:szCs w:val="18"/>
              </w:rPr>
              <w:br/>
            </w:r>
            <w:r w:rsidRPr="007C4BDF">
              <w:rPr>
                <w:rFonts w:eastAsia="Times New Roman"/>
                <w:color w:val="000000"/>
                <w:sz w:val="18"/>
                <w:szCs w:val="18"/>
              </w:rPr>
              <w:br/>
              <w:t xml:space="preserve">The Commonwealth does not have enterprise-wide "No Maintenance" periods.  Each "No Maintenance" period is requested and scheduled by the individual agency.  Please refer to ITB-NET015 which describes the process for requesting a "No Maintenance" period and the Commonwealth's approved Enterprise Maintenance Windows.  </w:t>
            </w:r>
            <w:r w:rsidRPr="007C4BDF">
              <w:rPr>
                <w:rFonts w:eastAsia="Times New Roman"/>
                <w:color w:val="000000"/>
                <w:sz w:val="18"/>
                <w:szCs w:val="18"/>
              </w:rPr>
              <w:br/>
            </w:r>
            <w:r w:rsidRPr="007C4BDF">
              <w:rPr>
                <w:rFonts w:eastAsia="Times New Roman"/>
                <w:color w:val="000000"/>
                <w:sz w:val="18"/>
                <w:szCs w:val="18"/>
              </w:rPr>
              <w:br/>
              <w:t>The agencies have several regularly scheduled "No Maintenance" periods every year.  See Exhibit O - 2012 Agency NMRs for the No Maintenance periods that occurred during 2012.  See Exhibit R - Transition Considerations for information on identified considerations which could impact transition planning.</w:t>
            </w:r>
            <w:r w:rsidRPr="007C4BDF">
              <w:rPr>
                <w:rFonts w:eastAsia="Times New Roman"/>
                <w:color w:val="000000"/>
                <w:sz w:val="18"/>
                <w:szCs w:val="18"/>
              </w:rPr>
              <w:br/>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2.3.4</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10, 11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With regard to item 1: DLP (Data Loss Prevention) What is the Commonwealth's expectation with regard to the Offeror's responsibility to "Discover confidential data wherever it is stored, inventory sensitive data, and automatically manage data cleanup" as well as  "identify" sensitive and confidential Citizen Personal Identifiable Information (PII) within the Commonwealth's databases, DNS and file systems?    How will the Commonwealth contribute to this effort?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parameters for confidential information will be documented as part of the discovery process in transition planning.</w:t>
            </w:r>
            <w:r w:rsidRPr="007C4BDF">
              <w:rPr>
                <w:rFonts w:eastAsia="Times New Roman"/>
                <w:color w:val="000000"/>
                <w:sz w:val="18"/>
                <w:szCs w:val="18"/>
              </w:rPr>
              <w:br/>
            </w:r>
            <w:r w:rsidRPr="007C4BDF">
              <w:rPr>
                <w:rFonts w:eastAsia="Times New Roman"/>
                <w:color w:val="000000"/>
                <w:sz w:val="18"/>
                <w:szCs w:val="18"/>
              </w:rPr>
              <w:br/>
              <w:t>The selected Offeror must discover any confidential information that is outside parameters defined by the Commonwealth.  The selected Offeror must inform the Commonwealth of any information that is discovered to be outside the parameters defined by the Commonwealth.  The Commonwealth will give guidance on resolution of any information which is discovered to be outside the established parameters.</w:t>
            </w:r>
          </w:p>
        </w:tc>
      </w:tr>
      <w:tr w:rsidR="007C4BDF" w:rsidRPr="007C4BDF" w:rsidTr="007C4BDF">
        <w:trPr>
          <w:trHeight w:val="50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3.1.1.5</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Reference: "The current maintenance contract for the EDC servers is scheduled to expire on June 30, 2014."  Confirm that all server maintenance in the EDC is scheduled to expire on 6/30/2014. What about other hardware in the EDC such as storage units, tape drives, etc.? Will the Offeror be financially responsible for maintenance on all data center components including those owned by the Commonwealth?</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Not all server maintenance in the EDC is scheduled to expire on 6/30/2014. The server maintenance contract is dynamic.  As manufacturer warranties expire, those servers are added to the extended maintenance contract if they are still in use and not refreshed.  As servers retire or are refreshed, they are removed from the extended maintenance contract.  The Offeror must maintain either the manufacturer's warranty or extended maintenance for all equipment in the EDC.   </w:t>
            </w:r>
            <w:r w:rsidRPr="007C4BDF">
              <w:rPr>
                <w:rFonts w:eastAsia="Times New Roman"/>
                <w:color w:val="000000"/>
                <w:sz w:val="18"/>
                <w:szCs w:val="18"/>
              </w:rPr>
              <w:br/>
            </w:r>
            <w:r w:rsidRPr="007C4BDF">
              <w:rPr>
                <w:rFonts w:eastAsia="Times New Roman"/>
                <w:color w:val="000000"/>
                <w:sz w:val="18"/>
                <w:szCs w:val="18"/>
              </w:rPr>
              <w:br/>
              <w:t xml:space="preserve">Yes, the selected Offeror will be financially responsible for maintenance on all data center components in the EDC. </w:t>
            </w:r>
            <w:r w:rsidRPr="007C4BDF">
              <w:rPr>
                <w:rFonts w:eastAsia="Times New Roman"/>
                <w:color w:val="000000"/>
                <w:sz w:val="18"/>
                <w:szCs w:val="18"/>
              </w:rPr>
              <w:br/>
            </w:r>
            <w:r w:rsidRPr="007C4BDF">
              <w:rPr>
                <w:rFonts w:eastAsia="Times New Roman"/>
                <w:color w:val="000000"/>
                <w:sz w:val="18"/>
                <w:szCs w:val="18"/>
              </w:rPr>
              <w:br/>
              <w:t xml:space="preserve">Exhibit D.1 - EDC - Server Inventory and Exhibit D.14 - EDC Hardware Warranty Information provide information on warranty and maintenance for equipment in the EDC.  Any additional information needed will be documented as part of the discovery process in transition planning.  </w:t>
            </w:r>
            <w:r w:rsidRPr="007C4BDF">
              <w:rPr>
                <w:rFonts w:eastAsia="Times New Roman"/>
                <w:color w:val="000000"/>
                <w:sz w:val="18"/>
                <w:szCs w:val="18"/>
              </w:rPr>
              <w:br/>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3.2.1.3</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As it relates to testing infrastructure changes.  What is the criteria by which testing environments must be maintained?   Must new hardware be tested in a separate 'testing environment' prior to implementation?  Is testing in a 'Test environment that my not 100% match production sufficient for testing, or are model office environments that 100% match production required?  Is such testing required for antivirus updates?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Unless otherwise approved by the Commonwealth, the Offeror must provide a separate test environment for those changes that impact multiple environments (Dev, Test, Prod) of the same application.  This includes SANs, Tape Silos, Firewalls, and other such infrastructure components.  Offerors should assume that a test environment must be a 100% match of the production environment; unless the Commonwealth approves a lesser environment for testing.   If the component supports only one environment (Dev, Test, Prod) for an application, then Offeror is not required to have separate infrastructure.  All changes must follow the implementation plan approved by the Commonwealth.</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3.2.1.4</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 the agency help desks have security restrictions that will need to be remediated to support connectivity?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Yes.  Firewall and other security adjustments will be necessary for the Offeror to interface with the agency help desks.</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3.2.1.5.1</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percentage or number of physical hosts in the baseline count are VM hosts, or are they not counted in the physical server count?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number of physical hosts and VM hosts will be documented as part of the discovery process in transition planning.</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3.2.1.6</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(2) Reference: "Assign an Account Manager to each identified agency."  Please provide a list of all agencies in scope.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Offeror will provide a minimum of five (5) dedicated Agency Account Managers responsible for understanding all of the services provided by Offeror and providing guidance to the agencies in understanding their datacenter business needs. Offeror must assign an Agency Account Manager to each agency that purchases services through the contract.  Not all Agency Account Managers must be assigned to a single agency.  </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3.2.1.8.3</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60</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This section states that “the Offeror will be solely responsible for the management of all infrastructure software products provided through this contract”.    Please explain the use of the words “the management” as required in this section.   Who is financially responsible for the installation, troubleshooting, and maintenance of the 3rd party software described in this section?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Commonwealth is subscribing to managed infrastructure services; therefore, the selected Offeror is responsible for providing and managing the infrastructure and the software needed to operate that infrastructure.  This includes licenses, patches, updates, maintenance, etc.  </w:t>
            </w:r>
            <w:r w:rsidRPr="007C4BDF">
              <w:rPr>
                <w:rFonts w:eastAsia="Times New Roman"/>
                <w:color w:val="000000"/>
                <w:sz w:val="18"/>
                <w:szCs w:val="18"/>
              </w:rPr>
              <w:br/>
            </w:r>
            <w:r w:rsidRPr="007C4BDF">
              <w:rPr>
                <w:rFonts w:eastAsia="Times New Roman"/>
                <w:color w:val="000000"/>
                <w:sz w:val="18"/>
                <w:szCs w:val="18"/>
              </w:rPr>
              <w:br/>
              <w:t>Financial responsibility for Third party software is set out in Appendix A - Data Center RFP Terms and Conditions.</w:t>
            </w:r>
          </w:p>
        </w:tc>
      </w:tr>
      <w:tr w:rsidR="007C4BDF" w:rsidRPr="007C4BDF" w:rsidTr="007C4BDF">
        <w:trPr>
          <w:trHeight w:val="45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3.2.2.2</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This section states “Offeror must work with the Commonwealth agencies to understand the systems involved, and the timeframe of these migrations”.   If there are specific and known requirements for agency timelines, please provide those details.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Identifying agency timeline needs is to be part of the transition planning and need to be taken into consideration by the Offeror during development of the detailed transition plan.  </w:t>
            </w:r>
            <w:r w:rsidRPr="007C4BDF">
              <w:rPr>
                <w:rFonts w:eastAsia="Times New Roman"/>
                <w:color w:val="000000"/>
                <w:sz w:val="18"/>
                <w:szCs w:val="18"/>
              </w:rPr>
              <w:br/>
            </w:r>
            <w:r w:rsidRPr="007C4BDF">
              <w:rPr>
                <w:rFonts w:eastAsia="Times New Roman"/>
                <w:color w:val="000000"/>
                <w:sz w:val="18"/>
                <w:szCs w:val="18"/>
              </w:rPr>
              <w:br/>
              <w:t xml:space="preserve">The Commonwealth does not have enterprise-wide "No Maintenance" periods.  Each "No Maintenance" period is requested and scheduled by the individual agency.  Please refer to ITB-NET015 which describes the process for requesting a "No Maintenance" period and the Commonwealth's approved Enterprise Maintenance Windows.  </w:t>
            </w:r>
            <w:r w:rsidRPr="007C4BDF">
              <w:rPr>
                <w:rFonts w:eastAsia="Times New Roman"/>
                <w:color w:val="000000"/>
                <w:sz w:val="18"/>
                <w:szCs w:val="18"/>
              </w:rPr>
              <w:br/>
            </w:r>
            <w:r w:rsidRPr="007C4BDF">
              <w:rPr>
                <w:rFonts w:eastAsia="Times New Roman"/>
                <w:color w:val="000000"/>
                <w:sz w:val="18"/>
                <w:szCs w:val="18"/>
              </w:rPr>
              <w:br/>
              <w:t>The agencies have several regularly scheduled "No Maintenance" periods every year.  See Exhibit O - 2012 Agency NMRs for the No Maintenance periods that occurred during 2012.  See Exhibit R - Transition Considerations for information on identified considerations which could impact transition planning.</w:t>
            </w:r>
            <w:r w:rsidRPr="007C4BDF">
              <w:rPr>
                <w:rFonts w:eastAsia="Times New Roman"/>
                <w:color w:val="000000"/>
                <w:sz w:val="18"/>
                <w:szCs w:val="18"/>
              </w:rPr>
              <w:br/>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48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Section 2.1  Section 3.2.3(3)</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6  85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Which of the Uptime Institute's measures for Tier 3 are required to meet the standard for Tier 3 equivalence? (Tier 3 design, Tier 3 operations, etc.) Will the standard to be used include any optional measures or only minimum requirements?    Requirement 2 states “Provide fully redundant environmental Services.  To include, but not limited to, HVAC, UPS, conditioned power and distribution, generator backup, automated transfer switch, fire suppression system”.    Is this requirement for all other facilities other than the EDC or must the Service Provider upgrade the EDC, at their cost, to provide this requirement?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Offeror must meet two Uptime Institute, LLC Tier III Data Center Site Infrastructure Tier Standards.  The first standard is “Data Center Site infrastructure Tier Standard: Topology” at a Tier III level.   The second standard is “Data Center Site infrastructure Tier Standard: Operational Sustainability” at a Tier III level.  These standards can be found at the Uptime Institute, LLC's website -</w:t>
            </w:r>
            <w:hyperlink r:id="rId10" w:history="1">
              <w:r w:rsidRPr="00971603">
                <w:rPr>
                  <w:rStyle w:val="Hyperlink"/>
                  <w:rFonts w:eastAsia="Times New Roman"/>
                  <w:sz w:val="18"/>
                  <w:szCs w:val="18"/>
                </w:rPr>
                <w:t>http://uptimeinstitute.com/</w:t>
              </w:r>
            </w:hyperlink>
            <w:r w:rsidRPr="007C4BDF">
              <w:rPr>
                <w:rFonts w:eastAsia="Times New Roman"/>
                <w:color w:val="000000"/>
                <w:sz w:val="18"/>
                <w:szCs w:val="18"/>
              </w:rPr>
              <w:t>.</w:t>
            </w:r>
            <w:r w:rsidRPr="007C4BDF">
              <w:rPr>
                <w:rFonts w:eastAsia="Times New Roman"/>
                <w:color w:val="000000"/>
                <w:sz w:val="18"/>
                <w:szCs w:val="18"/>
              </w:rPr>
              <w:br/>
            </w:r>
            <w:r w:rsidRPr="007C4BDF">
              <w:rPr>
                <w:rFonts w:eastAsia="Times New Roman"/>
                <w:color w:val="000000"/>
                <w:sz w:val="18"/>
                <w:szCs w:val="18"/>
              </w:rPr>
              <w:br/>
              <w:t>The Offeror must meet the minimum requirements to be considered compliant with the requirement.</w:t>
            </w:r>
            <w:r w:rsidRPr="007C4BDF">
              <w:rPr>
                <w:rFonts w:eastAsia="Times New Roman"/>
                <w:color w:val="000000"/>
                <w:sz w:val="18"/>
                <w:szCs w:val="18"/>
              </w:rPr>
              <w:br/>
            </w:r>
            <w:r w:rsidRPr="007C4BDF">
              <w:rPr>
                <w:rFonts w:eastAsia="Times New Roman"/>
                <w:color w:val="000000"/>
                <w:sz w:val="18"/>
                <w:szCs w:val="18"/>
              </w:rPr>
              <w:br/>
              <w:t>This requirement applies to all datacenters hosting Commonwealth applications.  If, at any time, the selected Offeror determines a datacenter is not compliant with the minimum Tier III requirements, the Offeror must document and report to the Commonwealth, the noncompliance for a determination on possible resolutions.  For the purposes of submitting a proposal, the Offerors are to assume that the EDC is compliant with the minimum requirements of a Tier III datacenter.</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3.2.5</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We understand the requirement for “short-term” needs as described in this section for IaaS. Please be aware that most 3rd party software for Unisys and IBM mainframe is not available for use in an “On-Demand” model.   Please explain how the Commonwealth will acquire the necessary 3rd party software license upgrades to accommodate this requirement and who will have the financial responsible to manage this short-term need.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Commonwealth is procuring managed services through this RFP.   The selected Offeror is responsible for managing the infrastructure and the software needed to operate that infrastructure.  This includes licenses, patches, updates, maintenance, etc. for the referenced mainframes. The selected Offeror will have the financial responsibility to manage a short term need.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3.3.2.1</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150</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expected transition timeframe and associated acceptance criteria for all the existing agency service management systems to the Offeror’s service management platform?</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See milestone M-9 ITSM System Integration in Schedule D - Transition Milestones</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TAB 1 Volumetrics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Was the intent to have rounded units in the Volumetrics?  The Commonwealth has used a formula to increase/decrease each category of units which leaves partial Servers, GB, etc.</w:t>
            </w:r>
            <w:r w:rsidRPr="007C4BDF">
              <w:rPr>
                <w:rFonts w:eastAsia="Times New Roman"/>
                <w:color w:val="000000"/>
                <w:sz w:val="18"/>
                <w:szCs w:val="18"/>
              </w:rPr>
              <w:br/>
            </w:r>
            <w:r w:rsidRPr="007C4BDF">
              <w:rPr>
                <w:rFonts w:eastAsia="Times New Roman"/>
                <w:color w:val="000000"/>
                <w:sz w:val="18"/>
                <w:szCs w:val="18"/>
              </w:rPr>
              <w:br/>
              <w:t xml:space="preserve">After Year 1 Volumes, the Servers/Unix counts are adjusted by a formula that leaves partial devices, which will impact the Total Charges tab because it multiplies PxQ and Q won’t be a whole number.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Schedule I - Offeror Pricing Forms has been revised to include rounded units.</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22</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TAB 1 Volumetrics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There are a number of configurations defined (i.e. Unisys DR Mainframe Config 3 and 4, IaaS Linux/Windows Config 4 and 5) in TAB 1 without corresponding Baseline Unit Volumetrics.  Where should the Offeror provide pricing for these configurations and what baseline volumetrics should be used?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Schedule I has been revised to include volumetrics for the referenced configurations. The Commonwealth has established multiple scenarios of infrastructure configurations specifically for pricing evaluation, as s</w:t>
            </w:r>
            <w:r w:rsidR="00971603">
              <w:rPr>
                <w:rFonts w:eastAsia="Times New Roman"/>
                <w:color w:val="000000"/>
                <w:sz w:val="18"/>
                <w:szCs w:val="18"/>
              </w:rPr>
              <w:t>et forth in Schedule I.    The v</w:t>
            </w:r>
            <w:r w:rsidRPr="007C4BDF">
              <w:rPr>
                <w:rFonts w:eastAsia="Times New Roman"/>
                <w:color w:val="000000"/>
                <w:sz w:val="18"/>
                <w:szCs w:val="18"/>
              </w:rPr>
              <w:t xml:space="preserve">olumetrics in Schedule I will be used to evaluate Offerors’ cost proposals and are not a minimum commitment or an all inclusive representation of every service desired by the Commonwealth.      </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3.2.3.2</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88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peak number of batch jobs that need to run in a 24 hour period by agency across all platforms (IBM Mainframe, Unisys, Mainframe, AIX, Windows,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peak number of batch jobs needed in a 24hr period is unknown.  The Offeror will be responsible for the batch jobs based on the needs of the agency. This will be documented as part of the discovery process in transition planning.</w:t>
            </w:r>
          </w:p>
        </w:tc>
      </w:tr>
      <w:tr w:rsidR="007C4BDF" w:rsidRPr="007C4BDF" w:rsidTr="00971603">
        <w:trPr>
          <w:trHeight w:val="13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Appendix A</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 (c) (ii)</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21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Commonwealth requirement “In contractor's performance and completion of Transition Services, no functionality of the Commonwealth’s then current business operations or environment will be discontinued until contractor demonstrates to Commonwealth's reasonable satisfaction that the affected processes and operations have been successfully migrated to contractors target environment and are functioning properly in that environment.” This requirement could imply that existing assets cannot be relocated and any proposed application migrations would need to use new or alternative infrastructure to maintain functional parallel application environments.  If so, this would impact a service provider’s ability to use a lower cost “lift and shift” migration strategy and Server – Managed Only pricing.  Is that your intention?  Will the Offeror be permitted to relocate the Commonwealth-owned existing hardware platform supporting an application if the hardware has useful life remaining?   If agreed by the Commonwealth on a case-by-case basis, can an agency application platform be shut down, packaged, physically relocated to a new data center, and reactivated at the new data center location?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does not own all of the infrastructure within the scope of this RFP.  Therefore, “lift and shift</w:t>
            </w:r>
            <w:r w:rsidR="00971603" w:rsidRPr="007C4BDF">
              <w:rPr>
                <w:rFonts w:eastAsia="Times New Roman"/>
                <w:sz w:val="18"/>
                <w:szCs w:val="18"/>
              </w:rPr>
              <w:t>“is</w:t>
            </w:r>
            <w:r w:rsidRPr="007C4BDF">
              <w:rPr>
                <w:rFonts w:eastAsia="Times New Roman"/>
                <w:sz w:val="18"/>
                <w:szCs w:val="18"/>
              </w:rPr>
              <w:t xml:space="preserve"> not an option in most cases.  For purpose of submitting a proposal, Offerors should assume no assets can be relocated.  </w:t>
            </w:r>
            <w:r w:rsidRPr="007C4BDF">
              <w:rPr>
                <w:rFonts w:eastAsia="Times New Roman"/>
                <w:sz w:val="18"/>
                <w:szCs w:val="18"/>
              </w:rPr>
              <w:br/>
            </w:r>
            <w:r w:rsidRPr="007C4BDF">
              <w:rPr>
                <w:rFonts w:eastAsia="Times New Roman"/>
                <w:sz w:val="18"/>
                <w:szCs w:val="18"/>
              </w:rPr>
              <w:br/>
              <w:t>On a case-by-case basis and with agency approval, an agency application platform may be shut down, packaged, physically relocated to a new data center, and reactivated at the new data center location.  For purposes of submitting a proposal, Offerors should, however, assume that no agency assets can be relocated.</w:t>
            </w:r>
          </w:p>
        </w:tc>
      </w:tr>
      <w:tr w:rsidR="007C4BDF" w:rsidRPr="007C4BDF" w:rsidTr="007C4BDF">
        <w:trPr>
          <w:trHeight w:val="26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25</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3.3.2.2</w:t>
            </w:r>
            <w:r w:rsidRPr="007C4BDF">
              <w:rPr>
                <w:rFonts w:eastAsia="Times New Roman"/>
                <w:sz w:val="18"/>
                <w:szCs w:val="18"/>
              </w:rPr>
              <w:br/>
              <w:t>3.2.2.5</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152</w:t>
            </w:r>
            <w:r w:rsidRPr="007C4BDF">
              <w:rPr>
                <w:rFonts w:eastAsia="Times New Roman"/>
                <w:sz w:val="18"/>
                <w:szCs w:val="18"/>
              </w:rPr>
              <w:br/>
              <w:t>77</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In response to Q 134 of Addendum 3 Q&amp;A round 1 part 1, the Commonwealth indicated the Offeror has to perform infrastructure vulnerability testing only. Whereas, in response to Q65 of the Addendum 4 Q&amp;A round 1 part 2, the Commonwealth indicated that the Offeror needs to perform all types of penetration testing including “applications”.</w:t>
            </w:r>
            <w:r w:rsidRPr="007C4BDF">
              <w:rPr>
                <w:rFonts w:eastAsia="Times New Roman"/>
                <w:color w:val="000000"/>
                <w:sz w:val="18"/>
                <w:szCs w:val="18"/>
              </w:rPr>
              <w:br/>
            </w:r>
            <w:r w:rsidRPr="007C4BDF">
              <w:rPr>
                <w:rFonts w:eastAsia="Times New Roman"/>
                <w:color w:val="000000"/>
                <w:sz w:val="18"/>
                <w:szCs w:val="18"/>
              </w:rPr>
              <w:br/>
              <w:t>Can the Commonwealth clarify if the Offeror is required to perform web application vulnerability testing as part of the Baseline security risk and vulnerability assessment and/or the Quarterly vulnerability scan?</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selected Offeror is required to perform host/network/OS level scanning and quarterly PCI scanning. OA is responsible for Web application scanning.</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 – Offeror Pricing Forms</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Volumetrics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xml:space="preserve">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Schedule I’s volumetrics for physical and virtual servers account for the planned technology refreshes in Commonwealth-owned assets to be migrated from “Co-Lo” or “Managed Only” to “Fully Managed”?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No, the volumetrics provided do not account for planned technology refreshes.  It is specifically for pricing evaluation, as set forth in Schedule I.  Actual volumes will vary.  </w:t>
            </w:r>
          </w:p>
        </w:tc>
      </w:tr>
      <w:tr w:rsidR="007C4BDF" w:rsidRPr="007C4BDF" w:rsidTr="007C4BDF">
        <w:trPr>
          <w:trHeight w:val="28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 – Offeror Pricing Forms</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Managed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Commonwealth has indicated that Contract signing = Effective Date = Start date.  The Commonwealth has also stated that Transition is part of the base term of the contract and transition is prior to Steady State.</w:t>
            </w:r>
            <w:r w:rsidRPr="007C4BDF">
              <w:rPr>
                <w:rFonts w:eastAsia="Times New Roman"/>
                <w:color w:val="000000"/>
                <w:sz w:val="18"/>
                <w:szCs w:val="18"/>
              </w:rPr>
              <w:br/>
            </w:r>
            <w:r w:rsidRPr="007C4BDF">
              <w:rPr>
                <w:rFonts w:eastAsia="Times New Roman"/>
                <w:color w:val="000000"/>
                <w:sz w:val="18"/>
                <w:szCs w:val="18"/>
              </w:rPr>
              <w:br/>
              <w:t>Can “Transition Charges” be billed prior to the DPH/EDC being fully migrated and/or prior to December 31, 2014?</w:t>
            </w:r>
            <w:r w:rsidRPr="007C4BDF">
              <w:rPr>
                <w:rFonts w:eastAsia="Times New Roman"/>
                <w:color w:val="000000"/>
                <w:sz w:val="18"/>
                <w:szCs w:val="18"/>
              </w:rPr>
              <w:br/>
            </w:r>
            <w:r w:rsidRPr="007C4BDF">
              <w:rPr>
                <w:rFonts w:eastAsia="Times New Roman"/>
                <w:color w:val="000000"/>
                <w:sz w:val="18"/>
                <w:szCs w:val="18"/>
              </w:rPr>
              <w:br/>
              <w:t xml:space="preserve">If Steady State RU’s are not “available” until the DPH/EDC have been fully migrated (which is required by 12/31/14) do the Volumetrics not come into play until 1/1/15 or can RU pricing begin with a fully migrated DPH/EDC and prior to 1/1/15?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Schedule I - Offeror Pricing Forms has been revised.  Transition costs are now deliverable based and cannot be billed until the Commonwealth accepts the deliverable and all associated milestones.  Refer to Schedule D - Transition Milestones and Schedule K – Key Program Deliverables which set forth acceptance criteria and due dates.   </w:t>
            </w:r>
            <w:r w:rsidRPr="007C4BDF">
              <w:rPr>
                <w:rFonts w:eastAsia="Times New Roman"/>
                <w:color w:val="000000"/>
                <w:sz w:val="18"/>
                <w:szCs w:val="18"/>
              </w:rPr>
              <w:br/>
            </w:r>
            <w:r w:rsidRPr="007C4BDF">
              <w:rPr>
                <w:rFonts w:eastAsia="Times New Roman"/>
                <w:color w:val="000000"/>
                <w:sz w:val="18"/>
                <w:szCs w:val="18"/>
              </w:rPr>
              <w:br/>
              <w:t>Applications cannot be billed until the application has been fully transitioned to the Offeror and accepted by the Commonwealth.</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 – Offeror Pricing Forms</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Volumetrics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current configurations for x86 and pSeries resource units at the service level tier Platinum are incapable of meeting the SLA measurement for infrastructure at 99.999% availability. In the absence of pConfigs that support clustering configurations, how does the Commonwealth wish to deal with the discrepancy?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J.3 - </w:t>
            </w:r>
            <w:r w:rsidRPr="007C4BDF">
              <w:rPr>
                <w:rFonts w:eastAsia="Times New Roman"/>
                <w:sz w:val="18"/>
                <w:szCs w:val="18"/>
              </w:rPr>
              <w:br/>
              <w:t>Datacenter SLA Definitions</w:t>
            </w:r>
            <w:r w:rsidRPr="007C4BDF">
              <w:rPr>
                <w:rFonts w:eastAsia="Times New Roman"/>
                <w:sz w:val="18"/>
                <w:szCs w:val="18"/>
              </w:rPr>
              <w:br/>
              <w:t>has been revised to exclude scheduled and approved maintenance windows in availability SLA calculations.</w:t>
            </w:r>
            <w:r w:rsidRPr="007C4BDF">
              <w:rPr>
                <w:rFonts w:eastAsia="Times New Roman"/>
                <w:sz w:val="18"/>
                <w:szCs w:val="18"/>
              </w:rPr>
              <w:br/>
            </w:r>
            <w:r w:rsidRPr="007C4BDF">
              <w:rPr>
                <w:rFonts w:eastAsia="Times New Roman"/>
                <w:sz w:val="18"/>
                <w:szCs w:val="18"/>
              </w:rPr>
              <w:br/>
              <w:t xml:space="preserve">Please provide clarification on why the current configurations for x86 and pSeries resource units at the service level tier Platinum are incapable of meeting the SLA measurement for infrastructure at 99.999% availability.  </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29</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D – Transition Milestones</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M-11</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4</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define “operational readiness”. What demonstrates that the facility is “ready”?</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Operational readiness is determined by the Commonwealth’s acceptance of the Operational Readiness Report indicating Offeror is ready to transition the Commonwealth’s Applications and Services to other Datacenters.</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I – Offeror Pricing Forms</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Volumetrics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xml:space="preserve">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 the numbers of servers for x86 configurations 4 and 5 relate to current equipment dedicated to DR? If not, how quickly will a maturing DR posture begin to reach or surpass these levels?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No, the numbers of servers for x86 configurations 4 and 5 do not relate to current equipment dedicated to DR.  The Offeror must provide the DR posture ordered by the Commonwealth.  </w:t>
            </w:r>
            <w:r w:rsidRPr="007C4BDF">
              <w:rPr>
                <w:rFonts w:eastAsia="Times New Roman"/>
                <w:color w:val="000000"/>
                <w:sz w:val="18"/>
                <w:szCs w:val="18"/>
              </w:rPr>
              <w:br/>
            </w:r>
            <w:r w:rsidRPr="007C4BDF">
              <w:rPr>
                <w:rFonts w:eastAsia="Times New Roman"/>
                <w:color w:val="000000"/>
                <w:sz w:val="18"/>
                <w:szCs w:val="18"/>
              </w:rPr>
              <w:br/>
              <w:t>Since the infrastructure is to be transitioned to the Offeror's datacenter(s), the maturity of the Commonwealth's DR equipment is irrelevant to the Offerors ability to submit a proposal.  Please clarify the question.</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B.4</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xml:space="preserve">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Offeror have to provide a price for the software listed in Exhibit B.4? If so, where does the Offeror provide a price for third-party software?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Schedule I - Offeror Pricing Forms has been revised to include software pricing as part of the Catalog of Services tab.</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xml:space="preserve">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 regulations related to Board of Elections data require that all such data remain within the Commonwealth at all times?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There are no requirements for Board of Elections’ data to remain within the Commonwealth.  The data must meet the data protection standards specified in the RFP.</w:t>
            </w:r>
            <w:r w:rsidRPr="007C4BDF">
              <w:rPr>
                <w:rFonts w:eastAsia="Times New Roman"/>
                <w:sz w:val="18"/>
                <w:szCs w:val="18"/>
              </w:rPr>
              <w:br/>
            </w:r>
            <w:r w:rsidRPr="007C4BDF">
              <w:rPr>
                <w:rFonts w:eastAsia="Times New Roman"/>
                <w:sz w:val="18"/>
                <w:szCs w:val="18"/>
              </w:rPr>
              <w:br/>
              <w:t>The specific requirements for Board of Elections data will be documented as part of the discovery process in transition planning.</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K</w:t>
            </w:r>
            <w:r w:rsidRPr="007C4BDF">
              <w:rPr>
                <w:rFonts w:eastAsia="Times New Roman"/>
                <w:sz w:val="18"/>
                <w:szCs w:val="18"/>
              </w:rPr>
              <w:br/>
            </w:r>
            <w:r w:rsidRPr="007C4BDF">
              <w:rPr>
                <w:rFonts w:eastAsia="Times New Roman"/>
                <w:sz w:val="18"/>
                <w:szCs w:val="18"/>
              </w:rPr>
              <w:br/>
              <w:t>Schedule J.3 Datacenter SLA Definitions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Datacenter Related Volumetrics</w:t>
            </w:r>
            <w:r w:rsidRPr="007C4BDF">
              <w:rPr>
                <w:rFonts w:eastAsia="Times New Roman"/>
                <w:sz w:val="18"/>
                <w:szCs w:val="18"/>
              </w:rPr>
              <w:br/>
            </w:r>
            <w:r w:rsidRPr="007C4BDF">
              <w:rPr>
                <w:rFonts w:eastAsia="Times New Roman"/>
                <w:sz w:val="18"/>
                <w:szCs w:val="18"/>
              </w:rPr>
              <w:br/>
              <w:t>SL26</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11,12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Of the monthly volumes listed on pages 11 &amp; 12 in Exhibit K, please provide an expected volume breakdown by Priority for Service Incidents and Service Requests so that Offeror can match these volumes to the required SLAs in Schedule J.3:</w:t>
            </w:r>
            <w:r w:rsidRPr="007C4BDF">
              <w:rPr>
                <w:rFonts w:eastAsia="Times New Roman"/>
                <w:color w:val="000000"/>
                <w:sz w:val="18"/>
                <w:szCs w:val="18"/>
              </w:rPr>
              <w:br/>
            </w:r>
            <w:r w:rsidRPr="007C4BDF">
              <w:rPr>
                <w:rFonts w:eastAsia="Times New Roman"/>
                <w:color w:val="000000"/>
                <w:sz w:val="18"/>
                <w:szCs w:val="18"/>
              </w:rPr>
              <w:br/>
              <w:t>Service Restorals                     Service Requests</w:t>
            </w:r>
            <w:r w:rsidRPr="007C4BDF">
              <w:rPr>
                <w:rFonts w:eastAsia="Times New Roman"/>
                <w:color w:val="000000"/>
                <w:sz w:val="18"/>
                <w:szCs w:val="18"/>
              </w:rPr>
              <w:br/>
              <w:t>P1: every 15 minutes               P1: Daily</w:t>
            </w:r>
            <w:r w:rsidRPr="007C4BDF">
              <w:rPr>
                <w:rFonts w:eastAsia="Times New Roman"/>
                <w:color w:val="000000"/>
                <w:sz w:val="18"/>
                <w:szCs w:val="18"/>
              </w:rPr>
              <w:br/>
              <w:t>P2: 30 minutes                           P2: Weekly</w:t>
            </w:r>
            <w:r w:rsidRPr="007C4BDF">
              <w:rPr>
                <w:rFonts w:eastAsia="Times New Roman"/>
                <w:color w:val="000000"/>
                <w:sz w:val="18"/>
                <w:szCs w:val="18"/>
              </w:rPr>
              <w:br/>
              <w:t>P3: daily                                        P3: every 2 weeks</w:t>
            </w:r>
            <w:r w:rsidRPr="007C4BDF">
              <w:rPr>
                <w:rFonts w:eastAsia="Times New Roman"/>
                <w:color w:val="000000"/>
                <w:sz w:val="18"/>
                <w:szCs w:val="18"/>
              </w:rPr>
              <w:br/>
              <w:t>P4: weekly                                   P4: Monthly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Expected volume breakdown by Priority for Service Incidents and Service Requests will be documented as part of the discovery process in transition planning.</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Answers to Questions Round #1, Part #2</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Q40</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Currently EDC provided managed services support includes responsibility for application installation, application support, application troubleshooting, application monitoring, etc.</w:t>
            </w:r>
            <w:r w:rsidRPr="007C4BDF">
              <w:rPr>
                <w:rFonts w:eastAsia="Times New Roman"/>
                <w:color w:val="000000"/>
                <w:sz w:val="18"/>
                <w:szCs w:val="18"/>
              </w:rPr>
              <w:br/>
            </w:r>
            <w:r w:rsidRPr="007C4BDF">
              <w:rPr>
                <w:rFonts w:eastAsia="Times New Roman"/>
                <w:color w:val="000000"/>
                <w:sz w:val="18"/>
                <w:szCs w:val="18"/>
              </w:rPr>
              <w:br/>
              <w:t>The Commonwealth response to this question implies that application support is in scope for the Offeror. This contradicts with responses to Q 136 and 139 in Round #1, Part #1, which indicate that the Offeror is only responsible for infrastructure. Please clarify.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971603">
            <w:pPr>
              <w:rPr>
                <w:rFonts w:eastAsia="Times New Roman"/>
                <w:sz w:val="18"/>
                <w:szCs w:val="18"/>
              </w:rPr>
            </w:pPr>
            <w:r w:rsidRPr="007C4BDF">
              <w:rPr>
                <w:rFonts w:eastAsia="Times New Roman"/>
                <w:sz w:val="18"/>
                <w:szCs w:val="18"/>
              </w:rPr>
              <w:t xml:space="preserve">Currently in Exhibit D.4 - EDC - Application Server Agency Report, applications identified a “MSL” are considered managed service lite.  All other applications are fully managed.  </w:t>
            </w:r>
            <w:r w:rsidRPr="007C4BDF">
              <w:rPr>
                <w:rFonts w:eastAsia="Times New Roman"/>
                <w:sz w:val="18"/>
                <w:szCs w:val="18"/>
              </w:rPr>
              <w:br/>
            </w:r>
            <w:r w:rsidRPr="007C4BDF">
              <w:rPr>
                <w:rFonts w:eastAsia="Times New Roman"/>
                <w:sz w:val="18"/>
                <w:szCs w:val="18"/>
              </w:rPr>
              <w:br/>
              <w:t xml:space="preserve">The services considered managed services lite today would require infrastructure support and not application level support.  Fully managed services require the Offeror to provide infrastructure and application level support. </w:t>
            </w:r>
          </w:p>
        </w:tc>
      </w:tr>
      <w:tr w:rsidR="007C4BDF" w:rsidRPr="007C4BDF" w:rsidTr="007C4BDF">
        <w:trPr>
          <w:trHeight w:val="36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35</w:t>
            </w:r>
          </w:p>
        </w:tc>
        <w:tc>
          <w:tcPr>
            <w:tcW w:w="1900" w:type="dxa"/>
            <w:tcBorders>
              <w:top w:val="nil"/>
              <w:left w:val="nil"/>
              <w:bottom w:val="single" w:sz="4" w:space="0" w:color="auto"/>
              <w:right w:val="single" w:sz="4" w:space="0" w:color="auto"/>
            </w:tcBorders>
            <w:shd w:val="clear" w:color="000000" w:fill="F2F2F2"/>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J.3</w:t>
            </w:r>
          </w:p>
        </w:tc>
        <w:tc>
          <w:tcPr>
            <w:tcW w:w="1390" w:type="dxa"/>
            <w:tcBorders>
              <w:top w:val="nil"/>
              <w:left w:val="nil"/>
              <w:bottom w:val="single" w:sz="4" w:space="0" w:color="auto"/>
              <w:right w:val="single" w:sz="4" w:space="0" w:color="auto"/>
            </w:tcBorders>
            <w:shd w:val="clear" w:color="000000" w:fill="F2F2F2"/>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Section 2.Service Level Details</w:t>
            </w:r>
          </w:p>
        </w:tc>
        <w:tc>
          <w:tcPr>
            <w:tcW w:w="1692" w:type="dxa"/>
            <w:tcBorders>
              <w:top w:val="nil"/>
              <w:left w:val="nil"/>
              <w:bottom w:val="single" w:sz="4" w:space="0" w:color="auto"/>
              <w:right w:val="single" w:sz="4" w:space="0" w:color="auto"/>
            </w:tcBorders>
            <w:shd w:val="clear" w:color="000000" w:fill="F2F2F2"/>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5-9</w:t>
            </w:r>
          </w:p>
        </w:tc>
        <w:tc>
          <w:tcPr>
            <w:tcW w:w="4480" w:type="dxa"/>
            <w:tcBorders>
              <w:top w:val="nil"/>
              <w:left w:val="nil"/>
              <w:bottom w:val="single" w:sz="4" w:space="0" w:color="auto"/>
              <w:right w:val="single" w:sz="4" w:space="0" w:color="auto"/>
            </w:tcBorders>
            <w:shd w:val="clear" w:color="000000" w:fill="F2F2F2"/>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For SLAs SL01-SL05, please confirm that the measure of application availability will exclude downtime associated with problems related to Commonwealth application programs and/or any items not under the direct control of the infrastructure and or services being provided by the service provider. </w:t>
            </w:r>
          </w:p>
        </w:tc>
        <w:tc>
          <w:tcPr>
            <w:tcW w:w="5981" w:type="dxa"/>
            <w:tcBorders>
              <w:top w:val="nil"/>
              <w:left w:val="nil"/>
              <w:bottom w:val="single" w:sz="4" w:space="0" w:color="auto"/>
              <w:right w:val="single" w:sz="4" w:space="0" w:color="auto"/>
            </w:tcBorders>
            <w:shd w:val="clear" w:color="000000" w:fill="F2F2F2"/>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Schedule J.3 has been revised.  The following exclusions have been identified.</w:t>
            </w:r>
            <w:r w:rsidRPr="007C4BDF">
              <w:rPr>
                <w:rFonts w:eastAsia="Times New Roman"/>
                <w:color w:val="000000"/>
                <w:sz w:val="18"/>
                <w:szCs w:val="18"/>
              </w:rPr>
              <w:br/>
            </w:r>
            <w:r w:rsidRPr="007C4BDF">
              <w:rPr>
                <w:rFonts w:eastAsia="Times New Roman"/>
                <w:color w:val="000000"/>
                <w:sz w:val="18"/>
                <w:szCs w:val="18"/>
              </w:rPr>
              <w:br/>
              <w:t>Offeror’s failure to achieve any Service Level will not constitute a Service Level Default or accrue toward a Service Level Termination Event to the extent such failure is directly attributable to any of the following:</w:t>
            </w:r>
            <w:r w:rsidRPr="007C4BDF">
              <w:rPr>
                <w:rFonts w:eastAsia="Times New Roman"/>
                <w:color w:val="000000"/>
                <w:sz w:val="18"/>
                <w:szCs w:val="18"/>
              </w:rPr>
              <w:br/>
              <w:t>(i) the failure or unavailability of equipment or other resources for which the Commonwealth is operationally and managerially responsible pursuant to the Contract,</w:t>
            </w:r>
            <w:r w:rsidRPr="007C4BDF">
              <w:rPr>
                <w:rFonts w:eastAsia="Times New Roman"/>
                <w:color w:val="000000"/>
                <w:sz w:val="18"/>
                <w:szCs w:val="18"/>
              </w:rPr>
              <w:br/>
              <w:t>(ii) changes made to the environment by the Commonwealth that were not communicated in accordance with the Change Control Procedure or other method agreed upon by the Parties, and</w:t>
            </w:r>
            <w:r w:rsidRPr="007C4BDF">
              <w:rPr>
                <w:rFonts w:eastAsia="Times New Roman"/>
                <w:color w:val="000000"/>
                <w:sz w:val="18"/>
                <w:szCs w:val="18"/>
              </w:rPr>
              <w:br/>
              <w:t>(iii) scheduled and approved maintenance windows</w:t>
            </w:r>
          </w:p>
        </w:tc>
      </w:tr>
      <w:tr w:rsidR="007C4BDF" w:rsidRPr="007C4BDF" w:rsidTr="007C4BDF">
        <w:trPr>
          <w:trHeight w:val="48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Appendix A</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9(a)</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10</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As it pertains to this section, “(a) Commonwealth will retain administration of logical and data access security, and Contractor will host Commonwealth security applications software utilized by the Commonwealth in managing logical and data access security, and will not implement configurations that would prevent Commonwealth from managing logical and data access security.”</w:t>
            </w:r>
            <w:r w:rsidRPr="007C4BDF">
              <w:rPr>
                <w:rFonts w:eastAsia="Times New Roman"/>
                <w:color w:val="000000"/>
                <w:sz w:val="18"/>
                <w:szCs w:val="18"/>
              </w:rPr>
              <w:br/>
              <w:t xml:space="preserve">Is it the intention of the Commonwealth to control “privileged Root and Admin logon and rights” to servers managed by the Offerer or will “privileged Root and Admin logon and rights” to be controlled by the Offerer?  </w:t>
            </w:r>
            <w:r w:rsidRPr="007C4BDF">
              <w:rPr>
                <w:rFonts w:eastAsia="Times New Roman"/>
                <w:color w:val="000000"/>
                <w:sz w:val="18"/>
                <w:szCs w:val="18"/>
              </w:rPr>
              <w:br/>
              <w:t xml:space="preserve">Or, is it the intention of the Commonwealth to control “privileged Root and Admin logon and rights” to servers managed by the Offerer will the Commonwealth agree to restrict such access to only those authorized by the Offerer?  </w:t>
            </w:r>
            <w:r w:rsidRPr="007C4BDF">
              <w:rPr>
                <w:rFonts w:eastAsia="Times New Roman"/>
                <w:color w:val="000000"/>
                <w:sz w:val="18"/>
                <w:szCs w:val="18"/>
              </w:rPr>
              <w:br/>
              <w:t xml:space="preserve">Or, is the intention of the Commonwealth to control “privileged Root and Admin logon and rights” to servers managed by the Offerer and not agree to restrict such access to only those authorized by the Offerer, and allows administrative access to Commonwealth or other parties for a managed server, that the Commonwealth agrees to waive any and all SLA’s for failures resulting from said access?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Offeror will be required to manage/control/monitor “privileged Root and Admin logon and rights”.   The Commonwealth and the selected Offeror will establish an approved process </w:t>
            </w:r>
            <w:r w:rsidR="00971603" w:rsidRPr="007C4BDF">
              <w:rPr>
                <w:rFonts w:eastAsia="Times New Roman"/>
                <w:sz w:val="18"/>
                <w:szCs w:val="18"/>
              </w:rPr>
              <w:t>for Commonwealth</w:t>
            </w:r>
            <w:r w:rsidRPr="007C4BDF">
              <w:rPr>
                <w:rFonts w:eastAsia="Times New Roman"/>
                <w:sz w:val="18"/>
                <w:szCs w:val="18"/>
              </w:rPr>
              <w:t xml:space="preserve"> staff to request “Privileged” access. This process will be documented in the CCPM.</w:t>
            </w:r>
            <w:r w:rsidRPr="007C4BDF">
              <w:rPr>
                <w:rFonts w:eastAsia="Times New Roman"/>
                <w:sz w:val="18"/>
                <w:szCs w:val="18"/>
              </w:rPr>
              <w:br/>
            </w:r>
            <w:r w:rsidRPr="007C4BDF">
              <w:rPr>
                <w:rFonts w:eastAsia="Times New Roman"/>
                <w:sz w:val="18"/>
                <w:szCs w:val="18"/>
              </w:rPr>
              <w:br/>
              <w:t>Schedule J.3 - Datacenter SLA Definitions has been revised to include exceptions to SLAs.</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37</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3.2.4.4 &amp; 3.2.4.5</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105&amp;111</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Is the offeror responsible for performing batch job scheduling functions in a batch scheduling system or will scheduling continue to be performed by the agency with the offeror managing and monitoring batch execution only? </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Responsibility for batch processing is determined at an application level and will be documented as part of the discovery process in transition planning.  </w:t>
            </w:r>
            <w:r w:rsidRPr="007C4BDF">
              <w:rPr>
                <w:rFonts w:eastAsia="Times New Roman"/>
                <w:sz w:val="18"/>
                <w:szCs w:val="18"/>
              </w:rPr>
              <w:br/>
            </w:r>
            <w:r w:rsidRPr="007C4BDF">
              <w:rPr>
                <w:rFonts w:eastAsia="Times New Roman"/>
                <w:sz w:val="18"/>
                <w:szCs w:val="18"/>
              </w:rPr>
              <w:br/>
              <w:t>For purposes of submitting a proposal, Offerors should assume the selected Offeror will be responsible for batch job scheduling in a batch scheduling system.</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Commonwealth have a suggested migration/wave schedule for the agencies?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spacing w:after="240"/>
              <w:rPr>
                <w:rFonts w:eastAsia="Times New Roman"/>
                <w:color w:val="000000"/>
                <w:sz w:val="18"/>
                <w:szCs w:val="18"/>
              </w:rPr>
            </w:pPr>
            <w:r w:rsidRPr="007C4BDF">
              <w:rPr>
                <w:rFonts w:eastAsia="Times New Roman"/>
                <w:color w:val="000000"/>
                <w:sz w:val="18"/>
                <w:szCs w:val="18"/>
              </w:rPr>
              <w:t>The Commonwealth does not have a suggested migration/wave schedule for the agencies. Transition Milestones are defined in Schedule D - Transition Milestones.  Offerors are to propose a transition plan to meet those requirements.</w:t>
            </w:r>
          </w:p>
        </w:tc>
      </w:tr>
      <w:tr w:rsidR="007C4BDF" w:rsidRPr="007C4BDF" w:rsidTr="007C4BDF">
        <w:trPr>
          <w:trHeight w:val="43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39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 the individual agencies have change freeze periods or business black-out dates that require consideration?  If yes, what are they?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Identifying specific agency scheduling needs will be part of the transition planning. </w:t>
            </w:r>
            <w:r w:rsidRPr="007C4BDF">
              <w:rPr>
                <w:rFonts w:eastAsia="Times New Roman"/>
                <w:color w:val="000000"/>
                <w:sz w:val="18"/>
                <w:szCs w:val="18"/>
              </w:rPr>
              <w:br/>
              <w:t xml:space="preserve">  </w:t>
            </w:r>
            <w:r w:rsidRPr="007C4BDF">
              <w:rPr>
                <w:rFonts w:eastAsia="Times New Roman"/>
                <w:color w:val="000000"/>
                <w:sz w:val="18"/>
                <w:szCs w:val="18"/>
              </w:rPr>
              <w:br/>
              <w:t xml:space="preserve">The Commonwealth does not have enterprise-wide "No Maintenance" periods.  Each "No Maintenance" period is requested and scheduled by the individual agency.  Please refer to ITB-NET015 which describes the process for requesting a "No Maintenance" period and the Commonwealth's approved Enterprise Maintenance Windows.  </w:t>
            </w:r>
            <w:r w:rsidRPr="007C4BDF">
              <w:rPr>
                <w:rFonts w:eastAsia="Times New Roman"/>
                <w:color w:val="000000"/>
                <w:sz w:val="18"/>
                <w:szCs w:val="18"/>
              </w:rPr>
              <w:br/>
            </w:r>
            <w:r w:rsidRPr="007C4BDF">
              <w:rPr>
                <w:rFonts w:eastAsia="Times New Roman"/>
                <w:color w:val="000000"/>
                <w:sz w:val="18"/>
                <w:szCs w:val="18"/>
              </w:rPr>
              <w:br/>
              <w:t xml:space="preserve">The agencies have several regularly scheduled "No Maintenance" periods every year.  See Exhibit O - 2012 Agency NMRs for the No Maintenance periods that occurred during 2012.  </w:t>
            </w:r>
            <w:r w:rsidR="00971603" w:rsidRPr="007C4BDF">
              <w:rPr>
                <w:rFonts w:eastAsia="Times New Roman"/>
                <w:color w:val="000000"/>
                <w:sz w:val="18"/>
                <w:szCs w:val="18"/>
              </w:rPr>
              <w:t>See Exhibit</w:t>
            </w:r>
            <w:r w:rsidRPr="007C4BDF">
              <w:rPr>
                <w:rFonts w:eastAsia="Times New Roman"/>
                <w:color w:val="000000"/>
                <w:sz w:val="18"/>
                <w:szCs w:val="18"/>
              </w:rPr>
              <w:t xml:space="preserve"> R - Transition Considerations for information on identified considerations which could impact transition planning.</w:t>
            </w:r>
            <w:r w:rsidRPr="007C4BDF">
              <w:rPr>
                <w:rFonts w:eastAsia="Times New Roman"/>
                <w:color w:val="000000"/>
                <w:sz w:val="18"/>
                <w:szCs w:val="18"/>
              </w:rPr>
              <w:br/>
            </w:r>
            <w:r w:rsidRPr="007C4BDF">
              <w:rPr>
                <w:rFonts w:eastAsia="Times New Roman"/>
                <w:color w:val="000000"/>
                <w:sz w:val="18"/>
                <w:szCs w:val="18"/>
              </w:rPr>
              <w:br/>
              <w:t>These are confidential documents.  To receive a copy, please contact Sheryl Kimport, the Issuing Officer.</w:t>
            </w:r>
          </w:p>
        </w:tc>
      </w:tr>
      <w:tr w:rsidR="007C4BDF" w:rsidRPr="007C4BDF" w:rsidTr="007C4BDF">
        <w:trPr>
          <w:trHeight w:val="26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provide the number of images considered:</w:t>
            </w:r>
            <w:r w:rsidRPr="007C4BDF">
              <w:rPr>
                <w:rFonts w:eastAsia="Times New Roman"/>
                <w:color w:val="000000"/>
                <w:sz w:val="18"/>
                <w:szCs w:val="18"/>
              </w:rPr>
              <w:br/>
              <w:t>1) Critical Virtual Images (virtual servers with an outage window tolerance of less than 24 hours and significant business impact);</w:t>
            </w:r>
            <w:r w:rsidRPr="007C4BDF">
              <w:rPr>
                <w:rFonts w:eastAsia="Times New Roman"/>
                <w:color w:val="000000"/>
                <w:sz w:val="18"/>
                <w:szCs w:val="18"/>
              </w:rPr>
              <w:br/>
              <w:t>2) Critical Physical Images (non-virtual servers with an outage window tolerance of less than 24 hours and significant business impact)?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number of images considered Critical Virtual Images or Critical Physical Images.</w:t>
            </w:r>
            <w:r w:rsidRPr="007C4BDF">
              <w:rPr>
                <w:rFonts w:eastAsia="Times New Roman"/>
                <w:sz w:val="18"/>
                <w:szCs w:val="18"/>
              </w:rPr>
              <w:br/>
            </w:r>
            <w:r w:rsidRPr="007C4BDF">
              <w:rPr>
                <w:rFonts w:eastAsia="Times New Roman"/>
                <w:sz w:val="18"/>
                <w:szCs w:val="18"/>
              </w:rPr>
              <w:br/>
              <w:t>The criticality of a virtual server will depend on agency requirements and will be documented as part of the discovery process in transition planning.</w:t>
            </w:r>
            <w:r w:rsidRPr="007C4BDF">
              <w:rPr>
                <w:rFonts w:eastAsia="Times New Roman"/>
                <w:sz w:val="18"/>
                <w:szCs w:val="18"/>
              </w:rPr>
              <w:br/>
            </w:r>
            <w:r w:rsidRPr="007C4BDF">
              <w:rPr>
                <w:rFonts w:eastAsia="Times New Roman"/>
                <w:sz w:val="18"/>
                <w:szCs w:val="18"/>
              </w:rPr>
              <w:br/>
              <w:t>The criticality of a physical server will depend on agency requirements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average change rate per day for the data on SAN/NAS?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average change rate per day for the data on SAN/NAS.  This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provide application flow documentation (by individual application) including firewall and load balancer requirements?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requirements of each application vary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are the application limitations (by individual application), such as cannot be virtualized, cannot be combined with other applications,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requirements of each application vary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3.3 Transition Services</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141 - 155</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Commonwealth have limitations or implementation guidelines regarding OS virtualization, such as stacking of workloads within a single OS image using "container" technology?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Limitations and implementation guidelines regarding OS virtualization will depend on agency requirements and will be documented as part of the discovery process in transition planning.</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H.1 DOR Data Center Inventory</w:t>
            </w:r>
            <w:r w:rsidRPr="007C4BDF">
              <w:rPr>
                <w:rFonts w:eastAsia="Times New Roman"/>
                <w:sz w:val="18"/>
                <w:szCs w:val="18"/>
              </w:rPr>
              <w:br/>
              <w:t>Exhibit H.2 DOR DPH Asset List</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provide the addresses of the physical location of the remote servers?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See Exhibit S - Datacenter locations for datacenter addresses</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map each server image to its desired Service Level in the RFP and provide such information?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desired service level of each server image will depend on agency requirements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number of server virtual guests per physical server?</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number of server virtual guests per physical server.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virtual cores per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number of virtual cores per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49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much virtual RAM per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amount of virtual RAM per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virtual NIC ports per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number of NIC ports per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virtual fiber channel ports per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number of virtual fiber channel ports per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provide system utilization data (performance and capacity) for each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system utilization data for each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provide data regarding the amount of SAN disk in use per physical and logical image?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amount of SAN disk in use per physical and logical image.  This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DOR Is data replication required for any of the physical and logical images?  If yes, could details please be provided?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DOR replicates data from its mainframes to a replication server using Sybase Replication Software.  The details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provide details regarding third-party contracts in support of the servers, such as maintenance agreements?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Commonwealth utilizes the IBM maintenance contract for much of its mission-critical equipment (servers, etc), and also uses  its Third Party IT Hardware Maintenance contract with Pomeroy for some equipment (including servers).  </w:t>
            </w:r>
            <w:r w:rsidRPr="007C4BDF">
              <w:rPr>
                <w:rFonts w:eastAsia="Times New Roman"/>
                <w:color w:val="000000"/>
                <w:sz w:val="18"/>
                <w:szCs w:val="18"/>
              </w:rPr>
              <w:br/>
              <w:t xml:space="preserve">These contracts are available on the Commonwealth’s eMarketplace website.  </w:t>
            </w:r>
            <w:r w:rsidRPr="007C4BDF">
              <w:rPr>
                <w:rFonts w:eastAsia="Times New Roman"/>
                <w:color w:val="000000"/>
                <w:sz w:val="18"/>
                <w:szCs w:val="18"/>
              </w:rPr>
              <w:br/>
              <w:t>The “Third Party IT Hardware Maintenance" contract number is 4400004924.</w:t>
            </w:r>
            <w:r w:rsidRPr="007C4BDF">
              <w:rPr>
                <w:rFonts w:eastAsia="Times New Roman"/>
                <w:color w:val="000000"/>
                <w:sz w:val="18"/>
                <w:szCs w:val="18"/>
              </w:rPr>
              <w:br/>
              <w:t>The "IT Hardware Servers – Lot 1" contract number is 4400008767.</w:t>
            </w:r>
            <w:r w:rsidRPr="007C4BDF">
              <w:rPr>
                <w:rFonts w:eastAsia="Times New Roman"/>
                <w:color w:val="000000"/>
                <w:sz w:val="18"/>
                <w:szCs w:val="18"/>
              </w:rPr>
              <w:br/>
              <w:t>The "IT Hardware Storage" contract number is 4400008774.</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56</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there a requirement to monitor and respond to application alerts and, if so, for which systems and applications?</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Offeror is responsible for monitoring and responding to application alerts for the managed services ordered.  </w:t>
            </w:r>
            <w:r w:rsidRPr="007C4BDF">
              <w:rPr>
                <w:rFonts w:eastAsia="Times New Roman"/>
                <w:sz w:val="18"/>
                <w:szCs w:val="18"/>
              </w:rPr>
              <w:br/>
            </w:r>
            <w:r w:rsidRPr="007C4BDF">
              <w:rPr>
                <w:rFonts w:eastAsia="Times New Roman"/>
                <w:sz w:val="18"/>
                <w:szCs w:val="18"/>
              </w:rPr>
              <w:br/>
              <w:t>The systems and applications that need to be monitored will be documented as part of the discovery process in transition planning and/or when new services are ordered.</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57</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platform automated monitoring and alert tools are used today?</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following application monitoring tools are currently in use by the </w:t>
            </w:r>
            <w:r w:rsidR="00971603" w:rsidRPr="007C4BDF">
              <w:rPr>
                <w:rFonts w:eastAsia="Times New Roman"/>
                <w:sz w:val="18"/>
                <w:szCs w:val="18"/>
              </w:rPr>
              <w:t>Commonwealth:</w:t>
            </w:r>
            <w:r w:rsidRPr="007C4BDF">
              <w:rPr>
                <w:rFonts w:eastAsia="Times New Roman"/>
                <w:sz w:val="18"/>
                <w:szCs w:val="18"/>
              </w:rPr>
              <w:t xml:space="preserve"> MS SCOM, MS SCCM, Paessler (External URL Testing), CiscoWorks, NIMS, syslog, Vmware vCenter, Idera SQL DM, Oracle OEM, Big Brother, EMC Data Protection Advisor, JC Metasys, IBM TPC, Tivoli ITCAM, SightLine, Wiley, SAP Solutions Manager, IBM Director, Nagius.   </w:t>
            </w:r>
            <w:r w:rsidRPr="007C4BDF">
              <w:rPr>
                <w:rFonts w:eastAsia="Times New Roman"/>
                <w:sz w:val="18"/>
                <w:szCs w:val="18"/>
              </w:rPr>
              <w:br/>
            </w:r>
            <w:r w:rsidRPr="007C4BDF">
              <w:rPr>
                <w:rFonts w:eastAsia="Times New Roman"/>
                <w:sz w:val="18"/>
                <w:szCs w:val="18"/>
              </w:rPr>
              <w:br/>
              <w:t>For purposes of submitting a proposal Offerors should assume none of the Commonwealth monitoring tools may be leveraged.</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Which servers (physical and logical) have Disaster Recovery requirements?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DR requirements for servers </w:t>
            </w:r>
            <w:r w:rsidRPr="007C4BDF">
              <w:rPr>
                <w:rFonts w:eastAsia="Times New Roman"/>
                <w:sz w:val="18"/>
                <w:szCs w:val="18"/>
              </w:rPr>
              <w:br/>
              <w:t>(physical and logical) will depend on agency requirements and will be documented as part of the discovery process in transition planning.</w:t>
            </w:r>
          </w:p>
        </w:tc>
      </w:tr>
      <w:tr w:rsidR="007C4BDF" w:rsidRPr="007C4BDF" w:rsidTr="007C4BDF">
        <w:trPr>
          <w:trHeight w:val="40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59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H.2 DOR DPH Asset List</w:t>
            </w:r>
            <w:r w:rsidRPr="007C4BDF">
              <w:rPr>
                <w:rFonts w:eastAsia="Times New Roman"/>
                <w:sz w:val="18"/>
                <w:szCs w:val="18"/>
              </w:rPr>
              <w:br/>
              <w:t>Exhibit I.9 IES Technical Refresh DP</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Which servers/images have a high availability requirement?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Server/image high availability requirements will depend on agency requirements and will be documented as part of the discovery process in transition planning.</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60</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SVCs being used?  If yes:</w:t>
            </w:r>
            <w:r w:rsidRPr="007C4BDF">
              <w:rPr>
                <w:rFonts w:eastAsia="Times New Roman"/>
                <w:color w:val="000000"/>
                <w:sz w:val="18"/>
                <w:szCs w:val="18"/>
              </w:rPr>
              <w:br/>
              <w:t>1) How much usable storage is virtualized using SVCs if any?</w:t>
            </w:r>
            <w:r w:rsidRPr="007C4BDF">
              <w:rPr>
                <w:rFonts w:eastAsia="Times New Roman"/>
                <w:color w:val="000000"/>
                <w:sz w:val="18"/>
                <w:szCs w:val="18"/>
              </w:rPr>
              <w:br/>
              <w:t>2) Can the SVC Clusters see multiple tiers of storage?</w:t>
            </w:r>
            <w:r w:rsidRPr="007C4BDF">
              <w:rPr>
                <w:rFonts w:eastAsia="Times New Roman"/>
                <w:color w:val="000000"/>
                <w:sz w:val="18"/>
                <w:szCs w:val="18"/>
              </w:rPr>
              <w:br/>
              <w:t>3) Do the SVC devices support real-time compression of block storage?</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IES and DOR do not use SVCs.</w:t>
            </w:r>
            <w:r w:rsidRPr="007C4BDF">
              <w:rPr>
                <w:rFonts w:eastAsia="Times New Roman"/>
                <w:color w:val="000000"/>
                <w:sz w:val="18"/>
                <w:szCs w:val="18"/>
              </w:rPr>
              <w:br/>
            </w:r>
            <w:r w:rsidRPr="007C4BDF">
              <w:rPr>
                <w:rFonts w:eastAsia="Times New Roman"/>
                <w:color w:val="000000"/>
                <w:sz w:val="18"/>
                <w:szCs w:val="18"/>
              </w:rPr>
              <w:br/>
              <w:t>DLI uses SVCs.</w:t>
            </w:r>
            <w:r w:rsidRPr="007C4BDF">
              <w:rPr>
                <w:rFonts w:eastAsia="Times New Roman"/>
                <w:color w:val="000000"/>
                <w:sz w:val="18"/>
                <w:szCs w:val="18"/>
              </w:rPr>
              <w:br/>
            </w:r>
            <w:r w:rsidRPr="007C4BDF">
              <w:rPr>
                <w:rFonts w:eastAsia="Times New Roman"/>
                <w:color w:val="000000"/>
                <w:sz w:val="18"/>
                <w:szCs w:val="18"/>
              </w:rPr>
              <w:br/>
              <w:t>1)  Currently 8TB is virtualized using SVC.  L&amp;I has plans to increase this to 43TB.</w:t>
            </w:r>
            <w:r w:rsidRPr="007C4BDF">
              <w:rPr>
                <w:rFonts w:eastAsia="Times New Roman"/>
                <w:color w:val="000000"/>
                <w:sz w:val="18"/>
                <w:szCs w:val="18"/>
              </w:rPr>
              <w:br/>
            </w:r>
            <w:r w:rsidRPr="007C4BDF">
              <w:rPr>
                <w:rFonts w:eastAsia="Times New Roman"/>
                <w:color w:val="000000"/>
                <w:sz w:val="18"/>
                <w:szCs w:val="18"/>
              </w:rPr>
              <w:br/>
              <w:t>2) Yes, DS8000 class and XIV class storage.</w:t>
            </w:r>
            <w:r w:rsidRPr="007C4BDF">
              <w:rPr>
                <w:rFonts w:eastAsia="Times New Roman"/>
                <w:color w:val="000000"/>
                <w:sz w:val="18"/>
                <w:szCs w:val="18"/>
              </w:rPr>
              <w:br/>
            </w:r>
            <w:r w:rsidRPr="007C4BDF">
              <w:rPr>
                <w:rFonts w:eastAsia="Times New Roman"/>
                <w:color w:val="000000"/>
                <w:sz w:val="18"/>
                <w:szCs w:val="18"/>
              </w:rPr>
              <w:br/>
              <w:t>3) No, this is an add-on license that L&amp;I has not purchased.</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Could the Commonwealth please describe the SAN storage system(s), including total physical disk (size and number of drives), number of partitions and sizes per partitions?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For IES, see Exhibit I.4 and I.11.  Information for other agencies will be documented as part of the discovery process in transition planning.</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management software is being used to manage the storage hardware for performance and capacity?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DOR is using XIV GUI, IBM Storage Manager.  For IES, see Exhibits I.2, I.3, I.4 and I.11.  Information for other agencies will be documented as part of the discovery process in transition planning.</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point-in-time, flash copy or snapshots being used?  What is the amount of data flashed or duplicated?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DOR currently uses Snapshots at DPH for the SAP systems with up to 5TB flashed or duplicated.  IES uses IBM XIV Snaps. See Exhibits I.4 for additional information.  Any additional information needed will be documented as part of the discovery process in transition planning.</w:t>
            </w:r>
          </w:p>
        </w:tc>
      </w:tr>
      <w:tr w:rsidR="007C4BDF" w:rsidRPr="007C4BDF" w:rsidTr="007C4BDF">
        <w:trPr>
          <w:trHeight w:val="33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spacing w:after="240"/>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SAN/NAS perform data replication communications with another site?  If yes:</w:t>
            </w:r>
            <w:r w:rsidRPr="007C4BDF">
              <w:rPr>
                <w:rFonts w:eastAsia="Times New Roman"/>
                <w:color w:val="000000"/>
                <w:sz w:val="18"/>
                <w:szCs w:val="18"/>
              </w:rPr>
              <w:br/>
              <w:t>1) Total amount of data (GB) replicated between sites?</w:t>
            </w:r>
            <w:r w:rsidRPr="007C4BDF">
              <w:rPr>
                <w:rFonts w:eastAsia="Times New Roman"/>
                <w:color w:val="000000"/>
                <w:sz w:val="18"/>
                <w:szCs w:val="18"/>
              </w:rPr>
              <w:br/>
              <w:t>2) What is the daily data change rate in percentage or GBs?</w:t>
            </w:r>
            <w:r w:rsidRPr="007C4BDF">
              <w:rPr>
                <w:rFonts w:eastAsia="Times New Roman"/>
                <w:color w:val="000000"/>
                <w:sz w:val="18"/>
                <w:szCs w:val="18"/>
              </w:rPr>
              <w:br/>
              <w:t>3) What is the sustained peak/maximum update or data transfer rate to the edge routers and SAN network devices?</w:t>
            </w:r>
            <w:r w:rsidRPr="007C4BDF">
              <w:rPr>
                <w:rFonts w:eastAsia="Times New Roman"/>
                <w:color w:val="000000"/>
                <w:sz w:val="18"/>
                <w:szCs w:val="18"/>
              </w:rPr>
              <w:br/>
              <w:t>4) Is data replication done on a real-time basis or on a periodic time delay basis, such as every 30 minutes, 1 hour,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 provide the following information:</w:t>
            </w:r>
            <w:r w:rsidRPr="007C4BDF">
              <w:rPr>
                <w:rFonts w:eastAsia="Times New Roman"/>
                <w:sz w:val="18"/>
                <w:szCs w:val="18"/>
              </w:rPr>
              <w:br/>
            </w:r>
            <w:r w:rsidRPr="007C4BDF">
              <w:rPr>
                <w:rFonts w:eastAsia="Times New Roman"/>
                <w:sz w:val="18"/>
                <w:szCs w:val="18"/>
              </w:rPr>
              <w:br/>
              <w:t xml:space="preserve">DOR performs data replication for the imaging Centera which replicates with a box at the Brookwood Street Data Center in Harrisburg.  </w:t>
            </w:r>
            <w:r w:rsidRPr="007C4BDF">
              <w:rPr>
                <w:rFonts w:eastAsia="Times New Roman"/>
                <w:sz w:val="18"/>
                <w:szCs w:val="18"/>
              </w:rPr>
              <w:br/>
            </w:r>
            <w:r w:rsidRPr="007C4BDF">
              <w:rPr>
                <w:rFonts w:eastAsia="Times New Roman"/>
                <w:sz w:val="18"/>
                <w:szCs w:val="18"/>
              </w:rPr>
              <w:br/>
              <w:t xml:space="preserve">IES performs replication for DPH backup solutions (Data Domain and Avamar) for the applications, databases and operating systems to the DR site. </w:t>
            </w:r>
            <w:r w:rsidRPr="007C4BDF">
              <w:rPr>
                <w:rFonts w:eastAsia="Times New Roman"/>
                <w:sz w:val="18"/>
                <w:szCs w:val="18"/>
              </w:rPr>
              <w:br/>
            </w:r>
            <w:r w:rsidRPr="007C4BDF">
              <w:rPr>
                <w:rFonts w:eastAsia="Times New Roman"/>
                <w:sz w:val="18"/>
                <w:szCs w:val="18"/>
              </w:rPr>
              <w:br/>
              <w:t>Any additional information needed will be documented as part of the discovery process in transition planning.</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65</w:t>
            </w:r>
          </w:p>
        </w:tc>
        <w:tc>
          <w:tcPr>
            <w:tcW w:w="190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SAN have unique features installed to support backup, archiving, data de-duplication, etc.?  Could the Commonwealth please provide a list of such features?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 provide the following information:</w:t>
            </w:r>
            <w:r w:rsidRPr="007C4BDF">
              <w:rPr>
                <w:rFonts w:eastAsia="Times New Roman"/>
                <w:sz w:val="18"/>
                <w:szCs w:val="18"/>
              </w:rPr>
              <w:br/>
            </w:r>
            <w:r w:rsidRPr="007C4BDF">
              <w:rPr>
                <w:rFonts w:eastAsia="Times New Roman"/>
                <w:sz w:val="18"/>
                <w:szCs w:val="18"/>
              </w:rPr>
              <w:br/>
              <w:t xml:space="preserve">DOR has no unique features installed except for the imaging Centera which replicates with a box at the Brookwood Street Data Center in Harrisburg. </w:t>
            </w:r>
            <w:r w:rsidRPr="007C4BDF">
              <w:rPr>
                <w:rFonts w:eastAsia="Times New Roman"/>
                <w:sz w:val="18"/>
                <w:szCs w:val="18"/>
              </w:rPr>
              <w:br/>
            </w:r>
            <w:r w:rsidRPr="007C4BDF">
              <w:rPr>
                <w:rFonts w:eastAsia="Times New Roman"/>
                <w:sz w:val="18"/>
                <w:szCs w:val="18"/>
              </w:rPr>
              <w:br/>
              <w:t xml:space="preserve">IES in the DPH uses Data Domain for backup of application database and Avamar to backup operating systems. These products provide archiving and de-duplication. </w:t>
            </w:r>
            <w:r w:rsidRPr="007C4BDF">
              <w:rPr>
                <w:rFonts w:eastAsia="Times New Roman"/>
                <w:sz w:val="18"/>
                <w:szCs w:val="18"/>
              </w:rPr>
              <w:br/>
            </w:r>
            <w:r w:rsidRPr="007C4BDF">
              <w:rPr>
                <w:rFonts w:eastAsia="Times New Roman"/>
                <w:sz w:val="18"/>
                <w:szCs w:val="18"/>
              </w:rPr>
              <w:br/>
              <w:t>Any additional information needed will be documented as part of the discovery process in transition planning.</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Asset List</w:t>
            </w:r>
            <w:r w:rsidRPr="007C4BDF">
              <w:rPr>
                <w:rFonts w:eastAsia="Times New Roman"/>
                <w:sz w:val="18"/>
                <w:szCs w:val="18"/>
              </w:rPr>
              <w:br/>
              <w:t>Exhibit B.2 DPH Common Wealth Owned DPH IT</w:t>
            </w:r>
            <w:r w:rsidRPr="007C4BDF">
              <w:rPr>
                <w:rFonts w:eastAsia="Times New Roman"/>
                <w:sz w:val="18"/>
                <w:szCs w:val="18"/>
              </w:rPr>
              <w:br/>
              <w:t>Exhibit H.1 DOR Data Center Inventory</w:t>
            </w:r>
            <w:r w:rsidRPr="007C4BDF">
              <w:rPr>
                <w:rFonts w:eastAsia="Times New Roman"/>
                <w:sz w:val="18"/>
                <w:szCs w:val="18"/>
              </w:rPr>
              <w:br/>
              <w:t>Exhibit I.1 IES DPH COPA Owned IT Assets</w:t>
            </w:r>
            <w:r w:rsidRPr="007C4BDF">
              <w:rPr>
                <w:rFonts w:eastAsia="Times New Roman"/>
                <w:sz w:val="18"/>
                <w:szCs w:val="18"/>
              </w:rPr>
              <w:br/>
              <w:t>Exhibit E.1 DLI Data Center Inventory Template</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solution require peer-to-peer communications of data with another site?  If yes:</w:t>
            </w:r>
            <w:r w:rsidRPr="007C4BDF">
              <w:rPr>
                <w:rFonts w:eastAsia="Times New Roman"/>
                <w:color w:val="000000"/>
                <w:sz w:val="18"/>
                <w:szCs w:val="18"/>
              </w:rPr>
              <w:br/>
              <w:t>1) What is the typical and maximum network traffic used by this communication?</w:t>
            </w:r>
            <w:r w:rsidRPr="007C4BDF">
              <w:rPr>
                <w:rFonts w:eastAsia="Times New Roman"/>
                <w:color w:val="000000"/>
                <w:sz w:val="18"/>
                <w:szCs w:val="18"/>
              </w:rPr>
              <w:br/>
              <w:t>2) What is the average daily update or data transfer rate that the edge routers and SAN network devices will need to support?</w:t>
            </w:r>
            <w:r w:rsidRPr="007C4BDF">
              <w:rPr>
                <w:rFonts w:eastAsia="Times New Roman"/>
                <w:color w:val="000000"/>
                <w:sz w:val="18"/>
                <w:szCs w:val="18"/>
              </w:rPr>
              <w:br/>
              <w:t>3) What is the sustained peak/maximum update or data transfer rate the edge routers and SAN network devices will need to support time of day)?</w:t>
            </w:r>
            <w:r w:rsidRPr="007C4BDF">
              <w:rPr>
                <w:rFonts w:eastAsia="Times New Roman"/>
                <w:color w:val="000000"/>
                <w:sz w:val="18"/>
                <w:szCs w:val="18"/>
              </w:rPr>
              <w:br/>
              <w:t>4) Is SAN fabric reporting currently implemented?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971603">
            <w:pPr>
              <w:rPr>
                <w:rFonts w:eastAsia="Times New Roman"/>
                <w:sz w:val="18"/>
                <w:szCs w:val="18"/>
              </w:rPr>
            </w:pPr>
            <w:r w:rsidRPr="007C4BDF">
              <w:rPr>
                <w:rFonts w:eastAsia="Times New Roman"/>
                <w:sz w:val="18"/>
                <w:szCs w:val="18"/>
              </w:rPr>
              <w:t>The Commonwealth has the following specific information:</w:t>
            </w:r>
            <w:r w:rsidRPr="007C4BDF">
              <w:rPr>
                <w:rFonts w:eastAsia="Times New Roman"/>
                <w:sz w:val="18"/>
                <w:szCs w:val="18"/>
              </w:rPr>
              <w:br/>
            </w:r>
            <w:r w:rsidRPr="007C4BDF">
              <w:rPr>
                <w:rFonts w:eastAsia="Times New Roman"/>
                <w:sz w:val="18"/>
                <w:szCs w:val="18"/>
              </w:rPr>
              <w:br/>
              <w:t>DOR and IES do not require peer-to-peer communications of data with another site.</w:t>
            </w:r>
            <w:r w:rsidRPr="007C4BDF">
              <w:rPr>
                <w:rFonts w:eastAsia="Times New Roman"/>
                <w:sz w:val="18"/>
                <w:szCs w:val="18"/>
              </w:rPr>
              <w:br/>
            </w:r>
            <w:r w:rsidRPr="007C4BDF">
              <w:rPr>
                <w:rFonts w:eastAsia="Times New Roman"/>
                <w:sz w:val="18"/>
                <w:szCs w:val="18"/>
              </w:rPr>
              <w:br/>
              <w:t>Any additional information needed will be documented as part of the discovery process in transition planning.</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Appendix A</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9 (a)</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10</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In the Commonwealth response to questions, round 1, part 1, question #24, the Commonwealth stated that the responsibility for logical security/ID administration remains with the Commonwealth.  Does this include privileged users?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 Please clarify question to explain   “Privileged Users” in the context of this question. </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J.3</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SL01 – SL05</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5*9</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Which Commonwealth applications are included in these particular Service Levels?  Which applications are assigned to which particular Service Level?  Does the Commonwealth require that instrumentation be implemented for each individual application to measure availability?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Applicable SLAs will be determined based on the services ordered.  The Commonwealth requires service levels SL01-SL05 to be associated at an application level of reporting.  Yes, the Offeror must implement instrumentation to measure availability.</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69</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3.1.2-5</w:t>
            </w:r>
          </w:p>
        </w:tc>
        <w:tc>
          <w:tcPr>
            <w:tcW w:w="1692"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17</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How many security zones per agency should offerors assume? </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Commonwealth has seven (7) datacenters and each has several security zones.  The actual number of security </w:t>
            </w:r>
            <w:r w:rsidR="00971603" w:rsidRPr="007C4BDF">
              <w:rPr>
                <w:rFonts w:eastAsia="Times New Roman"/>
                <w:sz w:val="18"/>
                <w:szCs w:val="18"/>
              </w:rPr>
              <w:t>zones will</w:t>
            </w:r>
            <w:r w:rsidRPr="007C4BDF">
              <w:rPr>
                <w:rFonts w:eastAsia="Times New Roman"/>
                <w:sz w:val="18"/>
                <w:szCs w:val="18"/>
              </w:rPr>
              <w:t xml:space="preserve"> be documented as part of the Discovery process during transition.</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2.3.1</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average utilization and bandwidth provided between each Data Center and end user locations on CopaNet and via PIP?  Which will need to connect to the target data centers?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All datacenters are connected to COPANET. The current internet connections are connected to COPANET. See Exhibit P – Enterprise Internet Bandwidth Utilization. The selected Offeror’s data centers must connect to COPANET.</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71</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A, Defined Terms and Schedule I , Offeror Pricing Forms</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concurrent licensed VPN users will terminate in the EDC or Target Data Centers? How many of each type (IPSec or SSL)?</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Commonwealth is requiring the ability for secure remote access to hosted systems for operational and administration purposes for designated personnel.    The Commonwealth currently has VPN services hosted by Verizon as part of its Telecom Contract.  </w:t>
            </w:r>
            <w:r w:rsidRPr="007C4BDF">
              <w:rPr>
                <w:rFonts w:eastAsia="Times New Roman"/>
                <w:sz w:val="18"/>
                <w:szCs w:val="18"/>
              </w:rPr>
              <w:br/>
            </w:r>
            <w:r w:rsidRPr="007C4BDF">
              <w:rPr>
                <w:rFonts w:eastAsia="Times New Roman"/>
                <w:sz w:val="18"/>
                <w:szCs w:val="18"/>
              </w:rPr>
              <w:br/>
              <w:t>The number of licensed site to site VPN tunnels is dependent upon the architecture provided and may vary during the term of the contract.</w:t>
            </w:r>
            <w:r w:rsidRPr="007C4BDF">
              <w:rPr>
                <w:rFonts w:eastAsia="Times New Roman"/>
                <w:sz w:val="18"/>
                <w:szCs w:val="18"/>
              </w:rPr>
              <w:br/>
            </w:r>
            <w:r w:rsidRPr="007C4BDF">
              <w:rPr>
                <w:rFonts w:eastAsia="Times New Roman"/>
                <w:sz w:val="18"/>
                <w:szCs w:val="18"/>
              </w:rPr>
              <w:br/>
              <w:t>Currently the Commonwealth has 5,619 total VPN users.</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72</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D.2, EDC- Switch Inventory</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What are the device counts for firewalls, WAN Optimization controllers, Wireless controllers, routers and other appliances by model which the supplier will be responsible for by location? </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The Commonwealth can only provide the information that is included in Exhibit D.2 - EDC - Switch Inventory.</w:t>
            </w:r>
            <w:r w:rsidRPr="007C4BDF">
              <w:rPr>
                <w:rFonts w:eastAsia="Times New Roman"/>
                <w:sz w:val="18"/>
                <w:szCs w:val="18"/>
              </w:rPr>
              <w:br/>
            </w:r>
            <w:r w:rsidRPr="007C4BDF">
              <w:rPr>
                <w:rFonts w:eastAsia="Times New Roman"/>
                <w:sz w:val="18"/>
                <w:szCs w:val="18"/>
              </w:rPr>
              <w:br/>
              <w:t xml:space="preserve"> Additional information will be documented as part of the discovery process in transition planning.</w:t>
            </w:r>
          </w:p>
        </w:tc>
      </w:tr>
      <w:tr w:rsidR="007C4BDF" w:rsidRPr="007C4BDF" w:rsidTr="007C4BDF">
        <w:trPr>
          <w:trHeight w:val="50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73</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3.2.4.2.7</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103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Outside of state regulatory requirements, would the Commonwealth please provide backup retention requirements (e.g., retain 12 months full backups, 5 year annuals,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Data retention policies will be determined by IT policy, law, and the requirements of the RFP</w:t>
            </w:r>
            <w:r w:rsidRPr="007C4BDF">
              <w:rPr>
                <w:rFonts w:eastAsia="Times New Roman"/>
                <w:color w:val="000000"/>
                <w:sz w:val="18"/>
                <w:szCs w:val="18"/>
              </w:rPr>
              <w:br/>
            </w:r>
            <w:r w:rsidRPr="007C4BDF">
              <w:rPr>
                <w:rFonts w:eastAsia="Times New Roman"/>
                <w:color w:val="000000"/>
                <w:sz w:val="18"/>
                <w:szCs w:val="18"/>
              </w:rPr>
              <w:br/>
              <w:t xml:space="preserve">The Commonwealth has data retention polices. Management Directive 210.5 (Commonwealth of PA State Record Management Programs) and several Information Technology Bulletins on this subject.  </w:t>
            </w:r>
            <w:r w:rsidRPr="007C4BDF">
              <w:rPr>
                <w:rFonts w:eastAsia="Times New Roman"/>
                <w:color w:val="000000"/>
                <w:sz w:val="18"/>
                <w:szCs w:val="18"/>
              </w:rPr>
              <w:br/>
            </w:r>
            <w:r w:rsidRPr="007C4BDF">
              <w:rPr>
                <w:rFonts w:eastAsia="Times New Roman"/>
                <w:color w:val="000000"/>
                <w:sz w:val="18"/>
                <w:szCs w:val="18"/>
              </w:rPr>
              <w:br/>
              <w:t>Management Directives can be found at -</w:t>
            </w:r>
            <w:hyperlink r:id="rId11" w:history="1">
              <w:r w:rsidRPr="00971603">
                <w:rPr>
                  <w:rStyle w:val="Hyperlink"/>
                  <w:rFonts w:eastAsia="Times New Roman"/>
                  <w:sz w:val="18"/>
                  <w:szCs w:val="18"/>
                </w:rPr>
                <w:t>http://www.portal.state.pa.us/portal/server.pt/</w:t>
              </w:r>
              <w:r w:rsidRPr="00971603">
                <w:rPr>
                  <w:rStyle w:val="Hyperlink"/>
                  <w:rFonts w:eastAsia="Times New Roman"/>
                  <w:sz w:val="18"/>
                  <w:szCs w:val="18"/>
                </w:rPr>
                <w:br/>
                <w:t>community/policies/10301/management_directives/551950</w:t>
              </w:r>
            </w:hyperlink>
            <w:r w:rsidRPr="007C4BDF">
              <w:rPr>
                <w:rFonts w:eastAsia="Times New Roman"/>
                <w:color w:val="000000"/>
                <w:sz w:val="18"/>
                <w:szCs w:val="18"/>
              </w:rPr>
              <w:t xml:space="preserve"> </w:t>
            </w:r>
            <w:r w:rsidRPr="007C4BDF">
              <w:rPr>
                <w:rFonts w:eastAsia="Times New Roman"/>
                <w:color w:val="000000"/>
                <w:sz w:val="18"/>
                <w:szCs w:val="18"/>
              </w:rPr>
              <w:br/>
            </w:r>
            <w:r w:rsidRPr="007C4BDF">
              <w:rPr>
                <w:rFonts w:eastAsia="Times New Roman"/>
                <w:color w:val="000000"/>
                <w:sz w:val="18"/>
                <w:szCs w:val="18"/>
              </w:rPr>
              <w:br/>
              <w:t>ITBs can be found at -</w:t>
            </w:r>
            <w:hyperlink r:id="rId12" w:history="1">
              <w:r w:rsidRPr="00971603">
                <w:rPr>
                  <w:rStyle w:val="Hyperlink"/>
                  <w:rFonts w:eastAsia="Times New Roman"/>
                  <w:sz w:val="18"/>
                  <w:szCs w:val="18"/>
                </w:rPr>
                <w:t>http://www.portal.state.pa.us/portal/server.pt?open=514&amp;objID=210791&amp;mode=2</w:t>
              </w:r>
            </w:hyperlink>
            <w:r w:rsidRPr="007C4BDF">
              <w:rPr>
                <w:rFonts w:eastAsia="Times New Roman"/>
                <w:color w:val="000000"/>
                <w:sz w:val="18"/>
                <w:szCs w:val="18"/>
              </w:rPr>
              <w:br/>
            </w:r>
            <w:r w:rsidRPr="007C4BDF">
              <w:rPr>
                <w:rFonts w:eastAsia="Times New Roman"/>
                <w:color w:val="000000"/>
                <w:sz w:val="18"/>
                <w:szCs w:val="18"/>
              </w:rPr>
              <w:br/>
              <w:t>Individual agencies may have additional data retention policies, such as IRS Pub 1075, etc.</w:t>
            </w:r>
            <w:r w:rsidRPr="007C4BDF">
              <w:rPr>
                <w:rFonts w:eastAsia="Times New Roman"/>
                <w:color w:val="000000"/>
                <w:sz w:val="18"/>
                <w:szCs w:val="18"/>
              </w:rPr>
              <w:br/>
            </w:r>
            <w:r w:rsidRPr="007C4BDF">
              <w:rPr>
                <w:rFonts w:eastAsia="Times New Roman"/>
                <w:color w:val="000000"/>
                <w:sz w:val="18"/>
                <w:szCs w:val="18"/>
              </w:rPr>
              <w:br/>
              <w:t>The selected Offeror will identify additional requirements during transition for individual services and comply with those requirements.</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74</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3.2.4.2.7</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103</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state the current backup schedules (e.g., daily Incremental, weekly full, monthly full, etc.)?</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Backup schedules vary by agency and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75</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3.2.4.2.7</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103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estimated daily change rate for the backups (e.g., 10% for file backups, 20% for database backups,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daily change rate varies by agency and will be documented as part of the discovery process in transition planning.</w:t>
            </w:r>
          </w:p>
        </w:tc>
      </w:tr>
      <w:tr w:rsidR="007C4BDF" w:rsidRPr="007C4BDF" w:rsidTr="007C4BDF">
        <w:trPr>
          <w:trHeight w:val="26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E.1,  DLI  Datacenter Inventory Template</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Applications Tab</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rows 62 - 78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following information regarding each AS400 iSeries server:</w:t>
            </w:r>
            <w:r w:rsidRPr="007C4BDF">
              <w:rPr>
                <w:rFonts w:eastAsia="Times New Roman"/>
                <w:color w:val="000000"/>
                <w:sz w:val="18"/>
                <w:szCs w:val="18"/>
              </w:rPr>
              <w:br/>
            </w:r>
            <w:r w:rsidRPr="007C4BDF">
              <w:rPr>
                <w:rFonts w:eastAsia="Times New Roman"/>
                <w:color w:val="000000"/>
                <w:sz w:val="18"/>
                <w:szCs w:val="18"/>
              </w:rPr>
              <w:br/>
              <w:t>• Location</w:t>
            </w:r>
            <w:r w:rsidRPr="007C4BDF">
              <w:rPr>
                <w:rFonts w:eastAsia="Times New Roman"/>
                <w:color w:val="000000"/>
                <w:sz w:val="18"/>
                <w:szCs w:val="18"/>
              </w:rPr>
              <w:br/>
              <w:t>• Model Number</w:t>
            </w:r>
            <w:r w:rsidRPr="007C4BDF">
              <w:rPr>
                <w:rFonts w:eastAsia="Times New Roman"/>
                <w:color w:val="000000"/>
                <w:sz w:val="18"/>
                <w:szCs w:val="18"/>
              </w:rPr>
              <w:br/>
              <w:t>• CPU (type, model, feature, etc.)</w:t>
            </w:r>
            <w:r w:rsidRPr="007C4BDF">
              <w:rPr>
                <w:rFonts w:eastAsia="Times New Roman"/>
                <w:color w:val="000000"/>
                <w:sz w:val="18"/>
                <w:szCs w:val="18"/>
              </w:rPr>
              <w:br/>
              <w:t>• RAM GB</w:t>
            </w:r>
            <w:r w:rsidRPr="007C4BDF">
              <w:rPr>
                <w:rFonts w:eastAsia="Times New Roman"/>
                <w:color w:val="000000"/>
                <w:sz w:val="18"/>
                <w:szCs w:val="18"/>
              </w:rPr>
              <w:br/>
              <w:t>• DASD Storage information</w:t>
            </w:r>
            <w:r w:rsidRPr="007C4BDF">
              <w:rPr>
                <w:rFonts w:eastAsia="Times New Roman"/>
                <w:color w:val="000000"/>
                <w:sz w:val="18"/>
                <w:szCs w:val="18"/>
              </w:rPr>
              <w:br/>
              <w:t>• Operating system version and release</w:t>
            </w:r>
            <w:r w:rsidRPr="007C4BDF">
              <w:rPr>
                <w:rFonts w:eastAsia="Times New Roman"/>
                <w:color w:val="000000"/>
                <w:sz w:val="18"/>
                <w:szCs w:val="18"/>
              </w:rPr>
              <w:br/>
              <w:t>• Number of LPARs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the information regarding each AS400 iSeries server.  This will be documented as part of the discovery process in transition planning.</w:t>
            </w:r>
          </w:p>
        </w:tc>
      </w:tr>
      <w:tr w:rsidR="007C4BDF" w:rsidRPr="007C4BDF" w:rsidTr="007C4BDF">
        <w:trPr>
          <w:trHeight w:val="38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77</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Revised Schedule F, Statement of Work</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3.2.4.4</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110 #3</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following regarding Production Control/Scheduling for open systems:</w:t>
            </w:r>
            <w:r w:rsidRPr="007C4BDF">
              <w:rPr>
                <w:rFonts w:eastAsia="Times New Roman"/>
                <w:color w:val="000000"/>
                <w:sz w:val="18"/>
                <w:szCs w:val="18"/>
              </w:rPr>
              <w:br/>
            </w:r>
            <w:r w:rsidRPr="007C4BDF">
              <w:rPr>
                <w:rFonts w:eastAsia="Times New Roman"/>
                <w:color w:val="000000"/>
                <w:sz w:val="18"/>
                <w:szCs w:val="18"/>
              </w:rPr>
              <w:br/>
              <w:t>• Number of batch jobs per month</w:t>
            </w:r>
            <w:r w:rsidRPr="007C4BDF">
              <w:rPr>
                <w:rFonts w:eastAsia="Times New Roman"/>
                <w:color w:val="000000"/>
                <w:sz w:val="18"/>
                <w:szCs w:val="18"/>
              </w:rPr>
              <w:br/>
              <w:t>• •Monthly Abend rate</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The Commonwealth can provide the following information regarding Production Control/Scheduling for open systems.</w:t>
            </w:r>
            <w:r w:rsidRPr="007C4BDF">
              <w:rPr>
                <w:rFonts w:eastAsia="Times New Roman"/>
                <w:sz w:val="18"/>
                <w:szCs w:val="18"/>
              </w:rPr>
              <w:br/>
            </w:r>
            <w:r w:rsidRPr="007C4BDF">
              <w:rPr>
                <w:rFonts w:eastAsia="Times New Roman"/>
                <w:sz w:val="18"/>
                <w:szCs w:val="18"/>
              </w:rPr>
              <w:br/>
              <w:t xml:space="preserve">IES - SAP batch/job processing is internal to the SAP application software. </w:t>
            </w:r>
            <w:r w:rsidRPr="007C4BDF">
              <w:rPr>
                <w:rFonts w:eastAsia="Times New Roman"/>
                <w:sz w:val="18"/>
                <w:szCs w:val="18"/>
              </w:rPr>
              <w:br/>
            </w:r>
            <w:r w:rsidRPr="007C4BDF">
              <w:rPr>
                <w:rFonts w:eastAsia="Times New Roman"/>
                <w:sz w:val="18"/>
                <w:szCs w:val="18"/>
              </w:rPr>
              <w:br/>
              <w:t>DOR - 46,793 batch jobs per month; 713 abends per month</w:t>
            </w:r>
            <w:r w:rsidRPr="007C4BDF">
              <w:rPr>
                <w:rFonts w:eastAsia="Times New Roman"/>
                <w:sz w:val="18"/>
                <w:szCs w:val="18"/>
              </w:rPr>
              <w:br/>
            </w:r>
            <w:r w:rsidRPr="007C4BDF">
              <w:rPr>
                <w:rFonts w:eastAsia="Times New Roman"/>
                <w:sz w:val="18"/>
                <w:szCs w:val="18"/>
              </w:rPr>
              <w:br/>
              <w:t>L&amp;I - There are approximately 51,118 batch jobs that are executed within Dollar Universe per month, in which 36% of those batch jobs are aborted.</w:t>
            </w:r>
            <w:r w:rsidRPr="007C4BDF">
              <w:rPr>
                <w:rFonts w:eastAsia="Times New Roman"/>
                <w:sz w:val="18"/>
                <w:szCs w:val="18"/>
              </w:rPr>
              <w:br/>
            </w:r>
            <w:r w:rsidRPr="007C4BDF">
              <w:rPr>
                <w:rFonts w:eastAsia="Times New Roman"/>
                <w:sz w:val="18"/>
                <w:szCs w:val="18"/>
              </w:rPr>
              <w:br/>
              <w:t xml:space="preserve">Note: The Offeror may be required to assume responsibility for all or a subset of an agency's batch operations.  This </w:t>
            </w:r>
            <w:r w:rsidR="00971603" w:rsidRPr="007C4BDF">
              <w:rPr>
                <w:rFonts w:eastAsia="Times New Roman"/>
                <w:sz w:val="18"/>
                <w:szCs w:val="18"/>
              </w:rPr>
              <w:t>will be</w:t>
            </w:r>
            <w:r w:rsidRPr="007C4BDF">
              <w:rPr>
                <w:rFonts w:eastAsia="Times New Roman"/>
                <w:sz w:val="18"/>
                <w:szCs w:val="18"/>
              </w:rPr>
              <w:t xml:space="preserve"> determined as part of the discovery process in transition planning.</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78</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Revised Schedule F, Statement of Work</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3.2.4.4</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111 #3</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Regarding open systems batch processing, what software product is used for batch processing?</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IES: SAP application manages/schedules batch processing. Integration file processing is managed by BMC Control M. </w:t>
            </w:r>
            <w:r w:rsidRPr="007C4BDF">
              <w:rPr>
                <w:rFonts w:eastAsia="Times New Roman"/>
                <w:sz w:val="18"/>
                <w:szCs w:val="18"/>
              </w:rPr>
              <w:br/>
            </w:r>
            <w:r w:rsidRPr="007C4BDF">
              <w:rPr>
                <w:rFonts w:eastAsia="Times New Roman"/>
                <w:sz w:val="18"/>
                <w:szCs w:val="18"/>
              </w:rPr>
              <w:br/>
              <w:t>DOR   Redwood CPS, IBM’s Tivoli Workload Scheduler.</w:t>
            </w:r>
            <w:r w:rsidRPr="007C4BDF">
              <w:rPr>
                <w:rFonts w:eastAsia="Times New Roman"/>
                <w:sz w:val="18"/>
                <w:szCs w:val="18"/>
              </w:rPr>
              <w:br/>
            </w:r>
            <w:r w:rsidRPr="007C4BDF">
              <w:rPr>
                <w:rFonts w:eastAsia="Times New Roman"/>
                <w:sz w:val="18"/>
                <w:szCs w:val="18"/>
              </w:rPr>
              <w:br/>
              <w:t xml:space="preserve">L&amp;I - The Orsyp Dollar Universe Job Scheduling software is the Department of L&amp;I enterprise job scheduler.  In addition to Dollar Universe, the Microsoft Windows Task Scheduler, Cron, and mainframe job scheduling are used within the agency.   </w:t>
            </w:r>
          </w:p>
        </w:tc>
      </w:tr>
      <w:tr w:rsidR="007C4BDF" w:rsidRPr="007C4BDF" w:rsidTr="007C4BDF">
        <w:trPr>
          <w:trHeight w:val="31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79</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Revised Schedule F, Statement of Work</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3.2.4.4</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111 #3</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Regarding open systems batch processing:</w:t>
            </w:r>
            <w:r w:rsidRPr="007C4BDF">
              <w:rPr>
                <w:rFonts w:eastAsia="Times New Roman"/>
                <w:color w:val="000000"/>
                <w:sz w:val="18"/>
                <w:szCs w:val="18"/>
              </w:rPr>
              <w:br/>
            </w:r>
            <w:r w:rsidRPr="007C4BDF">
              <w:rPr>
                <w:rFonts w:eastAsia="Times New Roman"/>
                <w:color w:val="000000"/>
                <w:sz w:val="18"/>
                <w:szCs w:val="18"/>
              </w:rPr>
              <w:br/>
              <w:t>• What is the level of automation for batch processing?</w:t>
            </w:r>
            <w:r w:rsidRPr="007C4BDF">
              <w:rPr>
                <w:rFonts w:eastAsia="Times New Roman"/>
                <w:color w:val="000000"/>
                <w:sz w:val="18"/>
                <w:szCs w:val="18"/>
              </w:rPr>
              <w:br/>
              <w:t>• Describe any manual intervention required to perform batch job processing to completion.</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br/>
              <w:t>The Commonwealth can provide the following information regarding open systems batch processing.</w:t>
            </w:r>
            <w:r w:rsidRPr="007C4BDF">
              <w:rPr>
                <w:rFonts w:eastAsia="Times New Roman"/>
                <w:sz w:val="18"/>
                <w:szCs w:val="18"/>
              </w:rPr>
              <w:br/>
            </w:r>
            <w:r w:rsidRPr="007C4BDF">
              <w:rPr>
                <w:rFonts w:eastAsia="Times New Roman"/>
                <w:sz w:val="18"/>
                <w:szCs w:val="18"/>
              </w:rPr>
              <w:br/>
              <w:t xml:space="preserve">IES: SAP application manages/schedules batch processing. Integration file processing is managed by BMC Control M. </w:t>
            </w:r>
            <w:r w:rsidRPr="007C4BDF">
              <w:rPr>
                <w:rFonts w:eastAsia="Times New Roman"/>
                <w:sz w:val="18"/>
                <w:szCs w:val="18"/>
              </w:rPr>
              <w:br/>
            </w:r>
            <w:r w:rsidRPr="007C4BDF">
              <w:rPr>
                <w:rFonts w:eastAsia="Times New Roman"/>
                <w:sz w:val="18"/>
                <w:szCs w:val="18"/>
              </w:rPr>
              <w:br/>
              <w:t xml:space="preserve">DOR Automation of jobs is about 75-80% on a normal day.  </w:t>
            </w:r>
            <w:r w:rsidRPr="007C4BDF">
              <w:rPr>
                <w:rFonts w:eastAsia="Times New Roman"/>
                <w:sz w:val="18"/>
                <w:szCs w:val="18"/>
              </w:rPr>
              <w:br/>
            </w:r>
            <w:r w:rsidRPr="007C4BDF">
              <w:rPr>
                <w:rFonts w:eastAsia="Times New Roman"/>
                <w:sz w:val="18"/>
                <w:szCs w:val="18"/>
              </w:rPr>
              <w:br/>
              <w:t>L&amp;I - All batch jobs processing within Dollar Universe are automatically processed.  Those batch jobs that are aborted are then manually executed to process</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80</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All Agency Tabs listing server HW assets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In order to provide a fixed price for transition, would the Commonwealth please provide following information to the asset hardware lists for each server / virtual line entry:</w:t>
            </w:r>
            <w:r w:rsidRPr="007C4BDF">
              <w:rPr>
                <w:rFonts w:eastAsia="Times New Roman"/>
                <w:color w:val="000000"/>
                <w:sz w:val="18"/>
                <w:szCs w:val="18"/>
              </w:rPr>
              <w:br/>
            </w:r>
            <w:r w:rsidRPr="007C4BDF">
              <w:rPr>
                <w:rFonts w:eastAsia="Times New Roman"/>
                <w:color w:val="000000"/>
                <w:sz w:val="18"/>
                <w:szCs w:val="18"/>
              </w:rPr>
              <w:br/>
              <w:t>• Server name or identifier</w:t>
            </w:r>
            <w:r w:rsidRPr="007C4BDF">
              <w:rPr>
                <w:rFonts w:eastAsia="Times New Roman"/>
                <w:color w:val="000000"/>
                <w:sz w:val="18"/>
                <w:szCs w:val="18"/>
              </w:rPr>
              <w:br/>
              <w:t>• Platform operating system and level</w:t>
            </w:r>
            <w:r w:rsidRPr="007C4BDF">
              <w:rPr>
                <w:rFonts w:eastAsia="Times New Roman"/>
                <w:color w:val="000000"/>
                <w:sz w:val="18"/>
                <w:szCs w:val="18"/>
              </w:rPr>
              <w:br/>
              <w:t>• TIER classification (PTL, GLD, SLR, BRN, Basic)</w:t>
            </w:r>
            <w:r w:rsidRPr="007C4BDF">
              <w:rPr>
                <w:rFonts w:eastAsia="Times New Roman"/>
                <w:color w:val="000000"/>
                <w:sz w:val="18"/>
                <w:szCs w:val="18"/>
              </w:rPr>
              <w:br/>
              <w:t>• Primary Application (DB, App, Web, etc.)</w:t>
            </w:r>
            <w:r w:rsidRPr="007C4BDF">
              <w:rPr>
                <w:rFonts w:eastAsia="Times New Roman"/>
                <w:color w:val="000000"/>
                <w:sz w:val="18"/>
                <w:szCs w:val="18"/>
              </w:rPr>
              <w:br/>
              <w:t>• Function (Prod, Dev, test, etc.)</w:t>
            </w:r>
            <w:r w:rsidRPr="007C4BDF">
              <w:rPr>
                <w:rFonts w:eastAsia="Times New Roman"/>
                <w:color w:val="000000"/>
                <w:sz w:val="18"/>
                <w:szCs w:val="18"/>
              </w:rPr>
              <w:br/>
              <w:t>• SAN attached? (Y/N). If yes, add storage used / allocated (GB)</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Any information in addition to what is included in exhibit B.1 DPH Asset List will be documented as part of the discovery process in transition planning.</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Revised Schedule F, Statement of Work</w:t>
            </w:r>
          </w:p>
        </w:tc>
        <w:tc>
          <w:tcPr>
            <w:tcW w:w="139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3.2.1.4</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44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What is the total number of users in-scope for Service Desk support?  What is the total number of Authorized Commonwealth users?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For purposes of submitting a proposal, Offerors should consider the number of service desk users as 300 and the total number of Commonwealth users as 300.  These figures are estimates and may vary.</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K, Enterprise Remedy and Volumetrics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DC Related Volumetrics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monthly average count of service requests expected for this scope of work?</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There were approximately 350 service requests in 2012 across all in-scope data centers.   The expected volume in unknown and will vary during the term of the contract.</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K, Enterprise Remedy and Volumetrics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DC Related Volumetrics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average call handle time (talk time plus wrap-up) for contacts to the Service Desk today?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average duration for an incoming call coming into the DPH help desk in the month of February was 88 seconds.  This is for the DPH help desk </w:t>
            </w:r>
            <w:r w:rsidR="00971603" w:rsidRPr="007C4BDF">
              <w:rPr>
                <w:rFonts w:eastAsia="Times New Roman"/>
                <w:color w:val="000000"/>
                <w:sz w:val="18"/>
                <w:szCs w:val="18"/>
              </w:rPr>
              <w:t>only;</w:t>
            </w:r>
            <w:r w:rsidRPr="007C4BDF">
              <w:rPr>
                <w:rFonts w:eastAsia="Times New Roman"/>
                <w:color w:val="000000"/>
                <w:sz w:val="18"/>
                <w:szCs w:val="18"/>
              </w:rPr>
              <w:t xml:space="preserve"> there is no reporting on the other tier 2 service desks.</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K, Enterprise Remedy and Volumetrics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DC Related Volumetrics</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there additional incident volumes that should be expected above what is listed on page 11?  If yes, please provide a monthly average estimate for the additional volume.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971603">
            <w:pPr>
              <w:rPr>
                <w:rFonts w:eastAsia="Times New Roman"/>
                <w:sz w:val="18"/>
                <w:szCs w:val="18"/>
              </w:rPr>
            </w:pPr>
            <w:r w:rsidRPr="007C4BDF">
              <w:rPr>
                <w:rFonts w:eastAsia="Times New Roman"/>
                <w:sz w:val="18"/>
                <w:szCs w:val="18"/>
              </w:rPr>
              <w:t xml:space="preserve">In addition to the ticket volumes provided, PennDOT has its own Remedy System and processes approximately 160 tickets per month. </w:t>
            </w:r>
            <w:r w:rsidR="00971603" w:rsidRPr="007C4BDF">
              <w:rPr>
                <w:rFonts w:eastAsia="Times New Roman"/>
                <w:sz w:val="18"/>
                <w:szCs w:val="18"/>
              </w:rPr>
              <w:t>Labor</w:t>
            </w:r>
            <w:r w:rsidRPr="007C4BDF">
              <w:rPr>
                <w:rFonts w:eastAsia="Times New Roman"/>
                <w:sz w:val="18"/>
                <w:szCs w:val="18"/>
              </w:rPr>
              <w:t xml:space="preserve"> and Industry processes approximately 100 server-related tickets per month in its Remedy System.  </w:t>
            </w:r>
            <w:r w:rsidRPr="007C4BDF">
              <w:rPr>
                <w:rFonts w:eastAsia="Times New Roman"/>
                <w:sz w:val="18"/>
                <w:szCs w:val="18"/>
              </w:rPr>
              <w:br/>
            </w:r>
            <w:r w:rsidRPr="007C4BDF">
              <w:rPr>
                <w:rFonts w:eastAsia="Times New Roman"/>
                <w:sz w:val="18"/>
                <w:szCs w:val="18"/>
              </w:rPr>
              <w:br/>
              <w:t>Actual volumes will vary during the term of the contract.  The selected Offeror must handle all call volumes which occur over the life of the contract.</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Exhibit D.7,  EDC Facility Summary and Requirements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Voice and Data Network Connectivity</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specific  requirements, for each connection, including bandwidth, circuit or connection type, services included,  location addresses, and NPA/NXX for each served location which the offeror is required to maintain connectivity to the Commonwealth’s voice and data networks at offeror’s expense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Bandwidth information has been provided in Exhibit P - Enterprise Internet Bandwidth Utilization.  The Offeror is required to connect to COPANET.  See Exhibit U – COPANET Locations for address and NPA/NXX information.</w:t>
            </w:r>
            <w:r w:rsidRPr="007C4BDF">
              <w:rPr>
                <w:rFonts w:eastAsia="Times New Roman"/>
                <w:sz w:val="18"/>
                <w:szCs w:val="18"/>
              </w:rPr>
              <w:br/>
            </w:r>
            <w:r w:rsidRPr="007C4BDF">
              <w:rPr>
                <w:rFonts w:eastAsia="Times New Roman"/>
                <w:sz w:val="18"/>
                <w:szCs w:val="18"/>
              </w:rPr>
              <w:br/>
              <w:t>Additional information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provide a Middleware instance count along with the number of sites each server serves?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Middleware instance </w:t>
            </w:r>
            <w:r w:rsidR="00971603" w:rsidRPr="007C4BDF">
              <w:rPr>
                <w:rFonts w:eastAsia="Times New Roman"/>
                <w:sz w:val="18"/>
                <w:szCs w:val="18"/>
              </w:rPr>
              <w:t>accounts will</w:t>
            </w:r>
            <w:r w:rsidRPr="007C4BDF">
              <w:rPr>
                <w:rFonts w:eastAsia="Times New Roman"/>
                <w:sz w:val="18"/>
                <w:szCs w:val="18"/>
              </w:rPr>
              <w:t xml:space="preserve"> vary by agency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87</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provide the rate of change each of the Middleware environments (e.g., sites, apps., etc.) get updated, and the level of effort required on a typical update?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rate of change for each Middleware environments will vary by agency and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88</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E.33, DLI - UC Telco Layout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All</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All</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advise which, if any, of the equipment shown in this exhibit should be considered to be in scope for migration, and what type of support is required.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 All of the equipment in the referenced exhibit is out of scope for migration.</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89</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E.1 vs other DLI Exhibits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General</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Exhibit E.1 indicates a server/image count of 1360; however a review of the various application architectures appears to indicate a server/image count of well over 2000.  We understand, of course, that this is a dynamic environment, and a more precise count would be more readily available during transition planning and due diligence; however, for preliminary planning purposes, which of these should be considered to be more accurate to understand the volume of DLI’s IT systems?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1360 is the correct server/image count for Labor and Industry. .  The application architecture models show shared servers which are redundant in the overall count.</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90</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116</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the average monthly MIP usage for each of the Dorado LPARs for the most recent 12 month period?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Monthly MIP usage for each of the Dorado LPARs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118-119</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Please supply the number of batch processing jobs and ABEND rates for each of the Unisys Dorado Partitions?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batch processing jobs and ABEND rates for each of the Unisys Dorado Partitions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92</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116</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performance data for each Unisys Libra machine - the average monthly MIP usage for each of the Libra machines in the previous 12 months?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performance data for each Unisys Libra machine will be documented as part of the discovery process in transition planning.</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93</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118-119</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Please supply the number of batch processing jobs and ABEND rates for each of the Unisys Libra machines?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batch processing jobs and ABEND rates for each of the Unisys Libra machines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94</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For the Unisys Dorado Machines, how many physical tapes by type (9840, 36-track, etc.) exist?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physical tapes by tape type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95</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the Unisys Dorado Machines, how many virtual tapes by type (9840, 36-track, etc.) exist?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virtual tapes by tape type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the Unisys Libra Machines, how many physical tapes by type (LTO-3, 36-track, etc.) exist?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physical tapes by tape type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97</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the Unisys Libra Machines, how many virtual tapes by type (LTO-3, 36-track etc.) exist?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number of virtual tapes by tape type will be documented as part of the discovery process in transition planning.</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98</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3.2.4.1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RFP states “Provide all tools and apps that are currently being provided, for example MAPPER/APPMAP, browser based terminal emulation access, and middleware components (e.g., OpenTI, IBM WBM &amp; WMQ, etc.) that are critical to agency operations and application usage.” </w:t>
            </w:r>
            <w:r w:rsidRPr="007C4BDF">
              <w:rPr>
                <w:rFonts w:eastAsia="Times New Roman"/>
                <w:color w:val="000000"/>
                <w:sz w:val="18"/>
                <w:szCs w:val="18"/>
              </w:rPr>
              <w:br/>
            </w:r>
            <w:r w:rsidRPr="007C4BDF">
              <w:rPr>
                <w:rFonts w:eastAsia="Times New Roman"/>
                <w:color w:val="000000"/>
                <w:sz w:val="18"/>
                <w:szCs w:val="18"/>
              </w:rPr>
              <w:br/>
              <w:t>For the Unisys Dorado Machines, please provide a list of Unisys Software including operating Systems Software and tools that are being used today, by partition?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Exhibit B.4 - DPH - Third Party Software - Contractor Provided and Exhibit B.10 - DPH - Third Party Software - Commonwealth Provided, Contractor Maintained and Managed contain lists of Third Party software for the DPH.  </w:t>
            </w:r>
            <w:r w:rsidRPr="007C4BDF">
              <w:rPr>
                <w:rFonts w:eastAsia="Times New Roman"/>
                <w:sz w:val="18"/>
                <w:szCs w:val="18"/>
              </w:rPr>
              <w:br/>
            </w:r>
            <w:r w:rsidRPr="007C4BDF">
              <w:rPr>
                <w:rFonts w:eastAsia="Times New Roman"/>
                <w:sz w:val="18"/>
                <w:szCs w:val="18"/>
              </w:rPr>
              <w:br/>
              <w:t>Any additional information will be documented as part of the discovery process in transition planning.</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99</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Schedule  F,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xml:space="preserve">3.2.4.1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94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RFP states “Provide all tools and apps that are currently being provided, for example MAPPER/APPMAP, browser based terminal emulation access, and middleware components (e.g., OpenTI, IBM WBM &amp; WMQ, etc.) that are critical to agency operations and application usage.”</w:t>
            </w:r>
            <w:r w:rsidRPr="007C4BDF">
              <w:rPr>
                <w:rFonts w:eastAsia="Times New Roman"/>
                <w:color w:val="000000"/>
                <w:sz w:val="18"/>
                <w:szCs w:val="18"/>
              </w:rPr>
              <w:br/>
            </w:r>
            <w:r w:rsidRPr="007C4BDF">
              <w:rPr>
                <w:rFonts w:eastAsia="Times New Roman"/>
                <w:color w:val="000000"/>
                <w:sz w:val="18"/>
                <w:szCs w:val="18"/>
              </w:rPr>
              <w:br/>
              <w:t>For the Unisys Libra Machines, please provide a list of Unisys Software including operating Systems software and tools that are being used today?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Exhibit B.4 - DPH - Third Party Software - Contractor Provided and Exhibit B.10 - DPH - Third Party Software - Commonwealth Provided, Contractor Maintained and Managed contain lists of Third Party software for the DPH.  </w:t>
            </w:r>
            <w:r w:rsidRPr="007C4BDF">
              <w:rPr>
                <w:rFonts w:eastAsia="Times New Roman"/>
                <w:sz w:val="18"/>
                <w:szCs w:val="18"/>
              </w:rPr>
              <w:br/>
            </w:r>
            <w:r w:rsidRPr="007C4BDF">
              <w:rPr>
                <w:rFonts w:eastAsia="Times New Roman"/>
                <w:sz w:val="18"/>
                <w:szCs w:val="18"/>
              </w:rPr>
              <w:br/>
              <w:t>Any additional information will be documented as part of the discovery process in transition planning.</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100</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H.3, DOR – DPH COPA Software Asset OBM Mainframe</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sz w:val="18"/>
                <w:szCs w:val="18"/>
              </w:rPr>
            </w:pPr>
            <w:r w:rsidRPr="007C4BDF">
              <w:rPr>
                <w:rFonts w:eastAsia="Times New Roman"/>
                <w:sz w:val="18"/>
                <w:szCs w:val="18"/>
              </w:rPr>
              <w:t>Tab_Revenue-IBM</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a comprehensive inventory of ALL Software Titles installed on ALL six z/OS LPARS defined on z/Series Processor 2817-603 serial number 85C6F.   Please indicate who will hold financial responsibility for each product.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software titles installed on the six z/OS LPARS will be documented as part of the discovery process in transition planning.    Financial responsibility for Third party software is set out in  Appendix A - Data Center RFP Terms and Conditions</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101</w:t>
            </w:r>
          </w:p>
        </w:tc>
        <w:tc>
          <w:tcPr>
            <w:tcW w:w="190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Tab_Mainframes_IBM</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processor configuration for processor 2817-603 serial number 85C6F.  Please include:</w:t>
            </w:r>
            <w:r w:rsidRPr="007C4BDF">
              <w:rPr>
                <w:rFonts w:eastAsia="Times New Roman"/>
                <w:color w:val="000000"/>
                <w:sz w:val="18"/>
                <w:szCs w:val="18"/>
              </w:rPr>
              <w:br/>
            </w:r>
            <w:r w:rsidRPr="007C4BDF">
              <w:rPr>
                <w:rFonts w:eastAsia="Times New Roman"/>
                <w:color w:val="000000"/>
                <w:sz w:val="18"/>
                <w:szCs w:val="18"/>
              </w:rPr>
              <w:br/>
              <w:t>• Number of IFL processors installed</w:t>
            </w:r>
            <w:r w:rsidRPr="007C4BDF">
              <w:rPr>
                <w:rFonts w:eastAsia="Times New Roman"/>
                <w:color w:val="000000"/>
                <w:sz w:val="18"/>
                <w:szCs w:val="18"/>
              </w:rPr>
              <w:br/>
              <w:t>• Amount of Memory installed</w:t>
            </w:r>
            <w:r w:rsidRPr="007C4BDF">
              <w:rPr>
                <w:rFonts w:eastAsia="Times New Roman"/>
                <w:color w:val="000000"/>
                <w:sz w:val="18"/>
                <w:szCs w:val="18"/>
              </w:rPr>
              <w:br/>
              <w:t>• Number of FICON Channels installed</w:t>
            </w:r>
            <w:r w:rsidRPr="007C4BDF">
              <w:rPr>
                <w:rFonts w:eastAsia="Times New Roman"/>
                <w:color w:val="000000"/>
                <w:sz w:val="18"/>
                <w:szCs w:val="18"/>
              </w:rPr>
              <w:br/>
              <w:t>• Number of Escon Channels Installed</w:t>
            </w:r>
            <w:r w:rsidRPr="007C4BDF">
              <w:rPr>
                <w:rFonts w:eastAsia="Times New Roman"/>
                <w:color w:val="000000"/>
                <w:sz w:val="18"/>
                <w:szCs w:val="18"/>
              </w:rPr>
              <w:br/>
              <w:t>• Number and type of OSA cards installed</w:t>
            </w:r>
            <w:r w:rsidRPr="007C4BDF">
              <w:rPr>
                <w:rFonts w:eastAsia="Times New Roman"/>
                <w:color w:val="000000"/>
                <w:sz w:val="18"/>
                <w:szCs w:val="18"/>
              </w:rPr>
              <w:br/>
              <w:t xml:space="preserve">• Any other specialty processors installed (ZIIP, ZAAP, ICF, Crypto)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Processor configuration for processor 2817-603 serial number 85C6F will be documented as part of the discovery process in transition planning.</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102</w:t>
            </w:r>
          </w:p>
        </w:tc>
        <w:tc>
          <w:tcPr>
            <w:tcW w:w="190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Tab_Mainframes_IBM</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processor configuration for processor 2098-J02 serial number 3E5DE.</w:t>
            </w:r>
            <w:r w:rsidRPr="007C4BDF">
              <w:rPr>
                <w:rFonts w:eastAsia="Times New Roman"/>
                <w:color w:val="000000"/>
                <w:sz w:val="18"/>
                <w:szCs w:val="18"/>
              </w:rPr>
              <w:br/>
              <w:t>Please include:</w:t>
            </w:r>
            <w:r w:rsidRPr="007C4BDF">
              <w:rPr>
                <w:rFonts w:eastAsia="Times New Roman"/>
                <w:color w:val="000000"/>
                <w:sz w:val="18"/>
                <w:szCs w:val="18"/>
              </w:rPr>
              <w:br/>
            </w:r>
            <w:r w:rsidRPr="007C4BDF">
              <w:rPr>
                <w:rFonts w:eastAsia="Times New Roman"/>
                <w:color w:val="000000"/>
                <w:sz w:val="18"/>
                <w:szCs w:val="18"/>
              </w:rPr>
              <w:br/>
              <w:t>• Amount of Memory installed</w:t>
            </w:r>
            <w:r w:rsidRPr="007C4BDF">
              <w:rPr>
                <w:rFonts w:eastAsia="Times New Roman"/>
                <w:color w:val="000000"/>
                <w:sz w:val="18"/>
                <w:szCs w:val="18"/>
              </w:rPr>
              <w:br/>
              <w:t>• Number of FICON Channels installed</w:t>
            </w:r>
            <w:r w:rsidRPr="007C4BDF">
              <w:rPr>
                <w:rFonts w:eastAsia="Times New Roman"/>
                <w:color w:val="000000"/>
                <w:sz w:val="18"/>
                <w:szCs w:val="18"/>
              </w:rPr>
              <w:br/>
              <w:t>• Number of Escon Channels Installed</w:t>
            </w:r>
            <w:r w:rsidRPr="007C4BDF">
              <w:rPr>
                <w:rFonts w:eastAsia="Times New Roman"/>
                <w:color w:val="000000"/>
                <w:sz w:val="18"/>
                <w:szCs w:val="18"/>
              </w:rPr>
              <w:br/>
              <w:t>• Number and type of OSA cards installed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Processor configuration for processor 2098-J02 serial number 3E5DE will be documented as part of the discovery process in transition planning.</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103</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B.3, DPH  -Commonwealth Software Asset Listing</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TAB_DOC_IBM</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a comprehensive inventory of ALL Software Titles installed on the single z/VSE LPAR defined on z/Series Processor 2098-J02 serial number 3E5DE.   Please indicate who will hold financial responsibility for each product.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software titles installed on the single z/VSE LPAR defined on z\Series Processor 2098-J02 will be documented as part of the discovery process in transition planning.    Financial responsibility for Third party software is set out </w:t>
            </w:r>
            <w:r w:rsidR="00971603" w:rsidRPr="007C4BDF">
              <w:rPr>
                <w:rFonts w:eastAsia="Times New Roman"/>
                <w:sz w:val="18"/>
                <w:szCs w:val="18"/>
              </w:rPr>
              <w:t>in Appendix</w:t>
            </w:r>
            <w:r w:rsidRPr="007C4BDF">
              <w:rPr>
                <w:rFonts w:eastAsia="Times New Roman"/>
                <w:sz w:val="18"/>
                <w:szCs w:val="18"/>
              </w:rPr>
              <w:t xml:space="preserve"> A - Data Center RFP Terms and Conditions.</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104</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Tab_Shared SAN Storage</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the ESCON Channels still in use for DPW, GAME, and PSP Mainframe systems? Are there any known issues with changing these to FICON?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Escon Channels are not still in use for DPW, GAME, and PSP.  FICON is an IBM proprietary technology that is not applicable to Unisys mainframe systems.</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105</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Tab_Shared SAN Storage</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spacing w:after="240"/>
              <w:rPr>
                <w:rFonts w:eastAsia="Times New Roman"/>
                <w:color w:val="000000"/>
                <w:sz w:val="18"/>
                <w:szCs w:val="18"/>
              </w:rPr>
            </w:pPr>
            <w:r w:rsidRPr="007C4BDF">
              <w:rPr>
                <w:rFonts w:eastAsia="Times New Roman"/>
                <w:color w:val="000000"/>
                <w:sz w:val="18"/>
                <w:szCs w:val="18"/>
              </w:rPr>
              <w:t xml:space="preserve">Are the 30 9840 tapes for DPW and the 12 9840 tape drives for PSP ESCON or FICON connected within the SL8500? </w:t>
            </w:r>
            <w:r w:rsidRPr="007C4BDF">
              <w:rPr>
                <w:rFonts w:eastAsia="Times New Roman"/>
                <w:color w:val="000000"/>
                <w:sz w:val="18"/>
                <w:szCs w:val="18"/>
              </w:rPr>
              <w:br/>
            </w:r>
            <w:r w:rsidRPr="007C4BDF">
              <w:rPr>
                <w:rFonts w:eastAsia="Times New Roman"/>
                <w:color w:val="000000"/>
                <w:sz w:val="18"/>
                <w:szCs w:val="18"/>
              </w:rPr>
              <w:br/>
              <w:t>What Model type are the 9840 tape drives (A, B, C, or Ds)?</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9840 tape drives are Model C and are connected via FICON to the SL8500 tape silo.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TAB_Dedicated DR</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Is the data from the DMX3 on the shared SAN Storage Tape replicated to the DMX4 on this tab or is the recovery done by performing tape restores from the 9840s?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 subset of the data from the DMX3 is replicated to the DMX4 and is resident at all times at the DR location. The remainder of the data required for disaster recovery on the DMX4 is restored from tape.</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 (12)</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intended with the requirement “The service must provide personal email files (.pst).”? Does the requirement indicate that the Service Provider should support existing .pst files or provide new .pst files? Does this indicate a need to support more than one mailbox with an additional 5GB mailbox limit?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selected Offeror must support new .pst files and support existing .pst files or migrate the existing .pst to a new .pst file. </w:t>
            </w:r>
            <w:r w:rsidRPr="007C4BDF">
              <w:rPr>
                <w:rFonts w:eastAsia="Times New Roman"/>
                <w:sz w:val="18"/>
                <w:szCs w:val="18"/>
              </w:rPr>
              <w:br/>
            </w:r>
            <w:r w:rsidRPr="007C4BDF">
              <w:rPr>
                <w:rFonts w:eastAsia="Times New Roman"/>
                <w:sz w:val="18"/>
                <w:szCs w:val="18"/>
              </w:rPr>
              <w:br/>
              <w:t>No, it does not indicate the need to support more than one mailbox with an additional 5GB mailbox limit.</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When providing personal archiving capabilities, how much of the archival space should be available to users?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Commonwealth currently uses the .pst files on local storage for archival purposes.  Personal archiving is outside the scope of this RFP.  </w:t>
            </w:r>
            <w:r w:rsidRPr="007C4BDF">
              <w:rPr>
                <w:rFonts w:eastAsia="Times New Roman"/>
                <w:sz w:val="18"/>
                <w:szCs w:val="18"/>
              </w:rPr>
              <w:br/>
            </w:r>
            <w:r w:rsidRPr="007C4BDF">
              <w:rPr>
                <w:rFonts w:eastAsia="Times New Roman"/>
                <w:sz w:val="18"/>
                <w:szCs w:val="18"/>
              </w:rPr>
              <w:br/>
              <w:t>See Exhibit Q - Mailbox Restore Policy for additional information.  This is a confidential document.  To receive a copy, please contact Sheryl Kimport, the Issuing Officer.</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109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Will there be a need to migrate existing .pst files to personal archives?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currently uses the .pst files on local storage for archival purposes.  The selected Offeror is not required to migrate existing .pst files to personal archives, but must support the ability to access existing archived.pst files and create new .pst archives.</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the Commonwealth willing to transfer any existing non-expired licenses to the Service Provider?</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For the purpose of submitting a proposal, Offerors should assume no licenses will be transferred.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confirm that the recovery of existing COPA AD will not be part of DR requirement.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Commonwealth confirms that the recovery of existing COPA AD will not be part of DR requirement.</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Commonwealth have any special retention policies and requirements for recovering messages and mailboxes? If so, what are they?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Mailboxes must not to be deleted earlier than 30 days after account deactivations. Individual mail items must be recoverable for at least 5 days after deletion.    </w:t>
            </w:r>
            <w:r w:rsidRPr="007C4BDF">
              <w:rPr>
                <w:rFonts w:eastAsia="Times New Roman"/>
                <w:sz w:val="18"/>
                <w:szCs w:val="18"/>
              </w:rPr>
              <w:br/>
            </w:r>
            <w:r w:rsidRPr="007C4BDF">
              <w:rPr>
                <w:rFonts w:eastAsia="Times New Roman"/>
                <w:sz w:val="18"/>
                <w:szCs w:val="18"/>
              </w:rPr>
              <w:br/>
              <w:t>See Exhibit Q - Mailbox Restore Policy for additional information. This is a confidential document.  To receive a copy, please contact Sheryl Kimport, the Issuing Officer.</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 COPA Datacenter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there any legal hold capabilities required for any of the mailboxes? If so, please define the retention period.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Yes, the Commonwealth requires the mailboxes include legal hold capabilities.  The required retention period will vary.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RFP</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Section I-30 COSTARS PROGRAM</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Can COSTARS participation be added after the contract is negotiated?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Yes.</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RFP</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Section I-30 COSTARS PROGRAM</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Given the multi-tenant nature of the environment, does the Offeror need COPA approval to add a COSTARS member to the environment when a PO is received?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Commonwealth approval is required to add a COSTAR member to the environment.</w:t>
            </w:r>
            <w:r w:rsidRPr="007C4BDF">
              <w:rPr>
                <w:rFonts w:eastAsia="Times New Roman"/>
                <w:sz w:val="18"/>
                <w:szCs w:val="18"/>
              </w:rPr>
              <w:br/>
              <w:t xml:space="preserve">COSTARS member must be on a segregated environment, not connected to the Commonwealth shared environment.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RFP</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Section I-30 COSTARS PROGRAM</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23</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Will the Commonwealth allow a COSTARS member to participate in the shared environment established for the Commonwealth of Pennsylvania?</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No.</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RFP 6100022698</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Part 3</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23 of 31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As the Offeror, we do not have the certification ISO 27001, 9001, 20000 and SSAE 16 Audit.  However, the Data Center we work with and who will be involved in this RFP, has these certifications.  In this situation, would the requipments be met?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Offerors may use subcontractors to meet the RFP requirements.  The data center proposed by an Offeror must have the required certifications.</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118</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1</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i/>
                <w:iCs/>
                <w:sz w:val="18"/>
                <w:szCs w:val="18"/>
              </w:rPr>
            </w:pPr>
            <w:r w:rsidRPr="007C4BDF">
              <w:rPr>
                <w:rFonts w:eastAsia="Times New Roman"/>
                <w:i/>
                <w:iCs/>
                <w:sz w:val="18"/>
                <w:szCs w:val="18"/>
              </w:rPr>
              <w:t>126</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Other than security, does the EDC monitor other items within the EDC (e.g. generators, UPS, etc.) using a building management system (BMS) or a data center infrastructure manager system (DCIM)? If so, can the Offeror utilize these systems? Can the Offeror connect electronically to these systems to receive alerts and alarms to its monitoring systems?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has a BMS that the Offeror may access for generator, UPS and air handler alerts, monitoring and information. The selected Offeror will be able to connect to the BMS electronically.</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119</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1</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131</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much load does the balance of the building represent as part of the generator capacity? Can this load be isolated and switched off in the event of an emergency within the computer room (e.g. in case of an extended emergency)?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Approximately 600 amps of service to the building are non-data center load.  Under the current configuration this load cannot be switched off.</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120</w:t>
            </w:r>
          </w:p>
        </w:tc>
        <w:tc>
          <w:tcPr>
            <w:tcW w:w="1900" w:type="dxa"/>
            <w:tcBorders>
              <w:top w:val="nil"/>
              <w:left w:val="nil"/>
              <w:bottom w:val="single" w:sz="4" w:space="0" w:color="auto"/>
              <w:right w:val="single" w:sz="4" w:space="0" w:color="auto"/>
            </w:tcBorders>
            <w:shd w:val="clear" w:color="000000" w:fill="FFFFFF"/>
            <w:vAlign w:val="center"/>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r w:rsidRPr="007C4BDF">
              <w:rPr>
                <w:rFonts w:eastAsia="Times New Roman"/>
                <w:sz w:val="18"/>
                <w:szCs w:val="18"/>
              </w:rPr>
              <w:br/>
              <w:t>Schedule F</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rPr>
                <w:rFonts w:eastAsia="Times New Roman"/>
                <w:sz w:val="18"/>
                <w:szCs w:val="18"/>
              </w:rPr>
            </w:pPr>
            <w:r w:rsidRPr="007C4BDF">
              <w:rPr>
                <w:rFonts w:eastAsia="Times New Roman"/>
                <w:sz w:val="18"/>
                <w:szCs w:val="18"/>
              </w:rPr>
              <w:t>4</w:t>
            </w:r>
            <w:r w:rsidRPr="007C4BDF">
              <w:rPr>
                <w:rFonts w:eastAsia="Times New Roman"/>
                <w:sz w:val="18"/>
                <w:szCs w:val="18"/>
              </w:rPr>
              <w:br/>
              <w:t>3.2.1.4</w:t>
            </w:r>
          </w:p>
        </w:tc>
        <w:tc>
          <w:tcPr>
            <w:tcW w:w="1692" w:type="dxa"/>
            <w:tcBorders>
              <w:top w:val="nil"/>
              <w:left w:val="nil"/>
              <w:bottom w:val="single" w:sz="4" w:space="0" w:color="auto"/>
              <w:right w:val="single" w:sz="4" w:space="0" w:color="auto"/>
            </w:tcBorders>
            <w:shd w:val="clear" w:color="000000" w:fill="FFFFFF"/>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44</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tickets/calls are from agencies that do not utilize the Commonwealth’s Enterprise Remedy System? Will these tickets/calls add to the call/ticket volumes previously provided?</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In addition to the ticket volumes provided, PennDOT has its own Remedy System and processes approximately 160 tickets per month. and  Labor and Industry processes approximately 100 server-related tickets per month in its Remedy System.  </w:t>
            </w:r>
            <w:r w:rsidRPr="007C4BDF">
              <w:rPr>
                <w:rFonts w:eastAsia="Times New Roman"/>
                <w:sz w:val="18"/>
                <w:szCs w:val="18"/>
              </w:rPr>
              <w:br/>
            </w:r>
            <w:r w:rsidRPr="007C4BDF">
              <w:rPr>
                <w:rFonts w:eastAsia="Times New Roman"/>
                <w:sz w:val="18"/>
                <w:szCs w:val="18"/>
              </w:rPr>
              <w:br/>
              <w:t>Actual volumes will vary during the term of the contract.  The selected Offeror must handle all call volumes which occur over the life of the contract.</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34</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Commonwealth’s Microsoft Exchange Enterprise License Agreement may be less expensive than those that may be purchased by an Offeror. To provide greater savings to the Commonwealth, will the Offeror be granted permission to use this or similar Commonwealth ELAs?</w:t>
            </w:r>
          </w:p>
        </w:tc>
        <w:tc>
          <w:tcPr>
            <w:tcW w:w="5981" w:type="dxa"/>
            <w:tcBorders>
              <w:top w:val="nil"/>
              <w:left w:val="nil"/>
              <w:bottom w:val="single" w:sz="4" w:space="0" w:color="auto"/>
              <w:right w:val="single" w:sz="4" w:space="0" w:color="auto"/>
            </w:tcBorders>
            <w:shd w:val="clear" w:color="auto" w:fill="auto"/>
            <w:hideMark/>
          </w:tcPr>
          <w:p w:rsidR="007C4BDF" w:rsidRPr="00F46CA1" w:rsidRDefault="004229EA" w:rsidP="007C4BDF">
            <w:pPr>
              <w:rPr>
                <w:rFonts w:eastAsia="Times New Roman"/>
                <w:strike/>
                <w:color w:val="FF0000"/>
                <w:sz w:val="18"/>
                <w:szCs w:val="18"/>
              </w:rPr>
            </w:pPr>
            <w:r w:rsidRPr="004229EA">
              <w:rPr>
                <w:rFonts w:eastAsia="Times New Roman"/>
                <w:strike/>
                <w:color w:val="FF0000"/>
                <w:sz w:val="18"/>
                <w:szCs w:val="18"/>
              </w:rPr>
              <w:t xml:space="preserve">For the purpose of submitting a proposal, Offerors should assume they will not be permitted to use the Commonwealth's Microsoft Exchange Enterprise License Agreement.  </w:t>
            </w:r>
          </w:p>
        </w:tc>
      </w:tr>
      <w:tr w:rsidR="007C4BDF" w:rsidRPr="007C4BDF" w:rsidTr="007C4BDF">
        <w:trPr>
          <w:trHeight w:val="36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122</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40</w:t>
            </w:r>
          </w:p>
        </w:tc>
        <w:tc>
          <w:tcPr>
            <w:tcW w:w="1692" w:type="dxa"/>
            <w:tcBorders>
              <w:top w:val="nil"/>
              <w:left w:val="nil"/>
              <w:bottom w:val="single" w:sz="4" w:space="0" w:color="auto"/>
              <w:right w:val="single" w:sz="4" w:space="0" w:color="auto"/>
            </w:tcBorders>
            <w:shd w:val="clear" w:color="000000" w:fill="FFFFFF"/>
            <w:noWrap/>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Will the Commonwealth update Schedule J.3 to reflect the definitions of calculations to remove scheduled and approved downtime?</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Schedule J.3 has been revised.  The following exclusions have been identified.</w:t>
            </w:r>
            <w:r w:rsidRPr="007C4BDF">
              <w:rPr>
                <w:rFonts w:eastAsia="Times New Roman"/>
                <w:sz w:val="18"/>
                <w:szCs w:val="18"/>
              </w:rPr>
              <w:br/>
            </w:r>
            <w:r w:rsidRPr="007C4BDF">
              <w:rPr>
                <w:rFonts w:eastAsia="Times New Roman"/>
                <w:sz w:val="18"/>
                <w:szCs w:val="18"/>
              </w:rPr>
              <w:br/>
              <w:t>Offeror’s failure to achieve any Service Level will not constitute a Service Level Default or accrue toward a Service Level Termination Event to the extent such failure is directly attributable to any of the following:</w:t>
            </w:r>
            <w:r w:rsidRPr="007C4BDF">
              <w:rPr>
                <w:rFonts w:eastAsia="Times New Roman"/>
                <w:sz w:val="18"/>
                <w:szCs w:val="18"/>
              </w:rPr>
              <w:br/>
              <w:t>(i) the failure or unavailability of equipment or other resources for which the Commonwealth is operationally and managerially responsible pursuant to the Contract,</w:t>
            </w:r>
            <w:r w:rsidRPr="007C4BDF">
              <w:rPr>
                <w:rFonts w:eastAsia="Times New Roman"/>
                <w:sz w:val="18"/>
                <w:szCs w:val="18"/>
              </w:rPr>
              <w:br/>
              <w:t>(ii) changes made to the environment by the Commonwealth that were not communicated in accordance with the Change Control Procedure or other method agreed upon by the Parties, and</w:t>
            </w:r>
            <w:r w:rsidRPr="007C4BDF">
              <w:rPr>
                <w:rFonts w:eastAsia="Times New Roman"/>
                <w:sz w:val="18"/>
                <w:szCs w:val="18"/>
              </w:rPr>
              <w:br/>
              <w:t>(iii) scheduled and approved maintenance windows</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123</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77</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details on the special power requirements at the Department of Labor and Industry.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There are no special power requirements for the Department of Labor and Industry.  The power concerns were listed due to an aging transformer at the Labor and Industry building.  The Labor and Industry server farm has no special power requirements in and of itself.</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124</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p>
        </w:tc>
        <w:tc>
          <w:tcPr>
            <w:tcW w:w="139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rPr>
                <w:rFonts w:eastAsia="Times New Roman"/>
                <w:sz w:val="18"/>
                <w:szCs w:val="18"/>
              </w:rPr>
            </w:pPr>
            <w:r w:rsidRPr="007C4BDF">
              <w:rPr>
                <w:rFonts w:eastAsia="Times New Roman"/>
                <w:sz w:val="18"/>
                <w:szCs w:val="18"/>
              </w:rPr>
              <w:t>117</w:t>
            </w:r>
          </w:p>
        </w:tc>
        <w:tc>
          <w:tcPr>
            <w:tcW w:w="1692" w:type="dxa"/>
            <w:tcBorders>
              <w:top w:val="nil"/>
              <w:left w:val="nil"/>
              <w:bottom w:val="single" w:sz="4" w:space="0" w:color="auto"/>
              <w:right w:val="single" w:sz="4" w:space="0" w:color="auto"/>
            </w:tcBorders>
            <w:shd w:val="clear" w:color="000000" w:fill="FFFFFF"/>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Will the EDC facility service agreements such as those for generators, switches, batteries, etc. be covered from the EDC Reserve Account?</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Operating expenses such as service agreements will not be covered from the EDC Reserve Account.</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125</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123</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information regarding the HIDS required for each agency that will be relocated or in use within the EDC.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See Exhibit J.4 - Security Agent Standard Tools. This is a confidential document.  To receive a copy, please contact Sheryl Kimport, the Issuing Officer.</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4</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39</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environments have a requirement for physical segregation? What are their respective area requirements?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Requirements for physical segregation will depend on agency requirements and will be documented as part of the discovery process in transition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127</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4</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43</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this transformer shared with the entire facility housing the EDC including non-data center areas?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PP&amp;L transformer is shared by the entire building (data center and non-data center).</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128</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4</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45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the requirements that agencies will have for managing, submitting and controlling scheduled and unscheduled jobs within the environment.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selected Offeror will provide all job scheduling in the managed hosting services environment.  </w:t>
            </w:r>
            <w:r w:rsidRPr="007C4BDF">
              <w:rPr>
                <w:rFonts w:eastAsia="Times New Roman"/>
                <w:sz w:val="18"/>
                <w:szCs w:val="18"/>
              </w:rPr>
              <w:br/>
            </w:r>
            <w:r w:rsidRPr="007C4BDF">
              <w:rPr>
                <w:rFonts w:eastAsia="Times New Roman"/>
                <w:sz w:val="18"/>
                <w:szCs w:val="18"/>
              </w:rPr>
              <w:br/>
              <w:t>Commonwealth agencies will manage the jobs in non-managed hosting environments.</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129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r w:rsidRPr="007C4BDF">
              <w:rPr>
                <w:rFonts w:eastAsia="Times New Roman"/>
                <w:sz w:val="18"/>
                <w:szCs w:val="18"/>
              </w:rPr>
              <w:br/>
              <w:t>Schedule F</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124</w:t>
            </w:r>
            <w:r w:rsidRPr="007C4BDF">
              <w:rPr>
                <w:rFonts w:eastAsia="Times New Roman"/>
                <w:sz w:val="18"/>
                <w:szCs w:val="18"/>
              </w:rPr>
              <w:br/>
              <w:t xml:space="preserve">3.2.1.1.1 </w:t>
            </w:r>
            <w:r w:rsidRPr="007C4BDF">
              <w:rPr>
                <w:rFonts w:eastAsia="Times New Roman"/>
                <w:sz w:val="18"/>
                <w:szCs w:val="18"/>
              </w:rPr>
              <w:br/>
              <w:t>Financial Management</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27</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are the expected data integration requirements between the Offeror’s invoicing system and the Commonwealth’s Remedy System?</w:t>
            </w:r>
            <w:r w:rsidRPr="007C4BDF">
              <w:rPr>
                <w:rFonts w:eastAsia="Times New Roman"/>
                <w:color w:val="000000"/>
                <w:sz w:val="18"/>
                <w:szCs w:val="18"/>
              </w:rPr>
              <w:br/>
            </w:r>
            <w:r w:rsidRPr="007C4BDF">
              <w:rPr>
                <w:rFonts w:eastAsia="Times New Roman"/>
                <w:color w:val="000000"/>
                <w:sz w:val="18"/>
                <w:szCs w:val="18"/>
              </w:rPr>
              <w:br/>
              <w:t>What module or application within Remedy, what data forms, and what is the expected output to the Commonwealth’s Remedy System?</w:t>
            </w:r>
          </w:p>
        </w:tc>
        <w:tc>
          <w:tcPr>
            <w:tcW w:w="5981" w:type="dxa"/>
            <w:tcBorders>
              <w:top w:val="nil"/>
              <w:left w:val="nil"/>
              <w:bottom w:val="single" w:sz="4" w:space="0" w:color="auto"/>
              <w:right w:val="single" w:sz="4" w:space="0" w:color="auto"/>
            </w:tcBorders>
            <w:shd w:val="clear" w:color="auto" w:fill="auto"/>
            <w:hideMark/>
          </w:tcPr>
          <w:p w:rsidR="00971603" w:rsidRDefault="007C4BDF" w:rsidP="007C4BDF">
            <w:pPr>
              <w:rPr>
                <w:rFonts w:eastAsia="Times New Roman"/>
                <w:sz w:val="18"/>
                <w:szCs w:val="18"/>
              </w:rPr>
            </w:pPr>
            <w:r w:rsidRPr="007C4BDF">
              <w:rPr>
                <w:rFonts w:eastAsia="Times New Roman"/>
                <w:sz w:val="18"/>
                <w:szCs w:val="18"/>
              </w:rPr>
              <w:t>There are no integration requirements with the Commonwealth’s ITSM system (currently Remedy).  Invoicing will occur via a file transfer procedure that conforms to a format approved by the Commonwealth.  The required data forms and output required from the selected Offeror will be documented as part of the discovery process in transition planning.</w:t>
            </w:r>
          </w:p>
          <w:p w:rsidR="00971603" w:rsidRPr="00971603" w:rsidRDefault="00971603" w:rsidP="00971603">
            <w:pPr>
              <w:rPr>
                <w:rFonts w:eastAsia="Times New Roman"/>
                <w:sz w:val="18"/>
                <w:szCs w:val="18"/>
              </w:rPr>
            </w:pPr>
          </w:p>
          <w:p w:rsidR="00971603" w:rsidRDefault="00971603" w:rsidP="00971603">
            <w:pPr>
              <w:rPr>
                <w:rFonts w:eastAsia="Times New Roman"/>
                <w:sz w:val="18"/>
                <w:szCs w:val="18"/>
              </w:rPr>
            </w:pPr>
          </w:p>
          <w:p w:rsidR="007C4BDF" w:rsidRPr="00971603" w:rsidRDefault="00971603" w:rsidP="00971603">
            <w:pPr>
              <w:tabs>
                <w:tab w:val="left" w:pos="1333"/>
              </w:tabs>
              <w:rPr>
                <w:rFonts w:eastAsia="Times New Roman"/>
                <w:sz w:val="18"/>
                <w:szCs w:val="18"/>
              </w:rPr>
            </w:pPr>
            <w:r>
              <w:rPr>
                <w:rFonts w:eastAsia="Times New Roman"/>
                <w:sz w:val="18"/>
                <w:szCs w:val="18"/>
              </w:rPr>
              <w:tab/>
            </w:r>
          </w:p>
        </w:tc>
      </w:tr>
      <w:tr w:rsidR="007C4BDF" w:rsidRPr="007C4BDF" w:rsidTr="007C4BDF">
        <w:trPr>
          <w:trHeight w:val="8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130</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4</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52</w:t>
            </w:r>
            <w:r w:rsidRPr="007C4BDF">
              <w:rPr>
                <w:rFonts w:eastAsia="Times New Roman"/>
                <w:sz w:val="18"/>
                <w:szCs w:val="18"/>
              </w:rPr>
              <w:br/>
              <w:t>53</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confirm that answers to these two questions have been reversed.</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These answers were reversed.  </w:t>
            </w:r>
            <w:r w:rsidRPr="007C4BDF">
              <w:rPr>
                <w:rFonts w:eastAsia="Times New Roman"/>
                <w:sz w:val="18"/>
                <w:szCs w:val="18"/>
              </w:rPr>
              <w:br/>
            </w:r>
            <w:r w:rsidRPr="007C4BDF">
              <w:rPr>
                <w:rFonts w:eastAsia="Times New Roman"/>
                <w:sz w:val="18"/>
                <w:szCs w:val="18"/>
              </w:rPr>
              <w:br/>
              <w:t>Question 52 from Round 1 Part 4 answer has been revised to read::</w:t>
            </w:r>
            <w:r w:rsidRPr="007C4BDF">
              <w:rPr>
                <w:rFonts w:eastAsia="Times New Roman"/>
                <w:sz w:val="18"/>
                <w:szCs w:val="18"/>
              </w:rPr>
              <w:br/>
            </w:r>
            <w:r w:rsidRPr="007C4BDF">
              <w:rPr>
                <w:rFonts w:eastAsia="Times New Roman"/>
                <w:sz w:val="18"/>
                <w:szCs w:val="18"/>
              </w:rPr>
              <w:br/>
              <w:t>The current configuration is:</w:t>
            </w:r>
            <w:r w:rsidRPr="007C4BDF">
              <w:rPr>
                <w:rFonts w:eastAsia="Times New Roman"/>
                <w:sz w:val="18"/>
                <w:szCs w:val="18"/>
              </w:rPr>
              <w:br/>
            </w:r>
            <w:r w:rsidRPr="007C4BDF">
              <w:rPr>
                <w:rFonts w:eastAsia="Times New Roman"/>
                <w:sz w:val="18"/>
                <w:szCs w:val="18"/>
              </w:rPr>
              <w:br/>
              <w:t>* PSP Production:          4 – Fibre PCI Cards SIOP Interfaces – speed 2 Gb</w:t>
            </w:r>
            <w:r w:rsidRPr="007C4BDF">
              <w:rPr>
                <w:rFonts w:eastAsia="Times New Roman"/>
                <w:sz w:val="18"/>
                <w:szCs w:val="18"/>
              </w:rPr>
              <w:br/>
            </w:r>
            <w:r w:rsidRPr="007C4BDF">
              <w:rPr>
                <w:rFonts w:eastAsia="Times New Roman"/>
                <w:sz w:val="18"/>
                <w:szCs w:val="18"/>
              </w:rPr>
              <w:br/>
              <w:t>* PSP Development:      4 – Fibre PCI Cards SIOP Interfaces – speed  2 Gb</w:t>
            </w:r>
            <w:r w:rsidRPr="007C4BDF">
              <w:rPr>
                <w:rFonts w:eastAsia="Times New Roman"/>
                <w:sz w:val="18"/>
                <w:szCs w:val="18"/>
              </w:rPr>
              <w:br/>
            </w:r>
            <w:r w:rsidRPr="007C4BDF">
              <w:rPr>
                <w:rFonts w:eastAsia="Times New Roman"/>
                <w:sz w:val="18"/>
                <w:szCs w:val="18"/>
              </w:rPr>
              <w:br/>
              <w:t>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w:t>
            </w:r>
            <w:r w:rsidRPr="007C4BDF">
              <w:rPr>
                <w:rFonts w:eastAsia="Times New Roman"/>
                <w:sz w:val="18"/>
                <w:szCs w:val="18"/>
              </w:rPr>
              <w:br/>
            </w:r>
            <w:r w:rsidRPr="007C4BDF">
              <w:rPr>
                <w:rFonts w:eastAsia="Times New Roman"/>
                <w:sz w:val="18"/>
                <w:szCs w:val="18"/>
              </w:rPr>
              <w:br/>
            </w:r>
            <w:r w:rsidRPr="007C4BDF">
              <w:rPr>
                <w:rFonts w:eastAsia="Times New Roman"/>
                <w:sz w:val="18"/>
                <w:szCs w:val="18"/>
              </w:rPr>
              <w:br/>
            </w:r>
            <w:r w:rsidRPr="007C4BDF">
              <w:rPr>
                <w:rFonts w:eastAsia="Times New Roman"/>
                <w:sz w:val="18"/>
                <w:szCs w:val="18"/>
              </w:rPr>
              <w:br/>
              <w:t>Question 53 from Round 1 Part 4  answer has been revised to read:</w:t>
            </w:r>
            <w:r w:rsidRPr="007C4BDF">
              <w:rPr>
                <w:rFonts w:eastAsia="Times New Roman"/>
                <w:sz w:val="18"/>
                <w:szCs w:val="18"/>
              </w:rPr>
              <w:br/>
            </w:r>
            <w:r w:rsidRPr="007C4BDF">
              <w:rPr>
                <w:rFonts w:eastAsia="Times New Roman"/>
                <w:sz w:val="18"/>
                <w:szCs w:val="18"/>
              </w:rPr>
              <w:br/>
              <w:t>The current configuration is:</w:t>
            </w:r>
            <w:r w:rsidRPr="007C4BDF">
              <w:rPr>
                <w:rFonts w:eastAsia="Times New Roman"/>
                <w:sz w:val="18"/>
                <w:szCs w:val="18"/>
              </w:rPr>
              <w:br/>
              <w:t xml:space="preserve"> </w:t>
            </w:r>
            <w:r w:rsidRPr="007C4BDF">
              <w:rPr>
                <w:rFonts w:eastAsia="Times New Roman"/>
                <w:sz w:val="18"/>
                <w:szCs w:val="18"/>
              </w:rPr>
              <w:br/>
              <w:t>PSP Production:       6 – 9840C drives</w:t>
            </w:r>
            <w:r w:rsidRPr="007C4BDF">
              <w:rPr>
                <w:rFonts w:eastAsia="Times New Roman"/>
                <w:sz w:val="18"/>
                <w:szCs w:val="18"/>
              </w:rPr>
              <w:br/>
              <w:t xml:space="preserve">                                4 – 36 track drives (5236)</w:t>
            </w:r>
            <w:r w:rsidRPr="007C4BDF">
              <w:rPr>
                <w:rFonts w:eastAsia="Times New Roman"/>
                <w:sz w:val="18"/>
                <w:szCs w:val="18"/>
              </w:rPr>
              <w:br/>
              <w:t>PSP Development:  6 – 9840C drives</w:t>
            </w:r>
            <w:r w:rsidRPr="007C4BDF">
              <w:rPr>
                <w:rFonts w:eastAsia="Times New Roman"/>
                <w:sz w:val="18"/>
                <w:szCs w:val="18"/>
              </w:rPr>
              <w:br/>
              <w:t xml:space="preserve">                                4 – 36 track drives (5236)</w:t>
            </w:r>
            <w:r w:rsidRPr="007C4BDF">
              <w:rPr>
                <w:rFonts w:eastAsia="Times New Roman"/>
                <w:sz w:val="18"/>
                <w:szCs w:val="18"/>
              </w:rPr>
              <w:br/>
            </w:r>
            <w:r w:rsidRPr="007C4BDF">
              <w:rPr>
                <w:rFonts w:eastAsia="Times New Roman"/>
                <w:sz w:val="18"/>
                <w:szCs w:val="18"/>
              </w:rPr>
              <w:br/>
              <w:t>The Commonwealth requires the selected Offeror to provide the services set forth in the RFP according to the contract terms and conditions. This existing infrastructure may not be sufficient for the long term. Offerors must determine the quantity, type, speed, etc. of the equipment required to provide the services throughout the term of the contract.</w:t>
            </w:r>
          </w:p>
        </w:tc>
      </w:tr>
      <w:tr w:rsidR="007C4BDF" w:rsidRPr="007C4BDF" w:rsidTr="007C4BDF">
        <w:trPr>
          <w:trHeight w:val="55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Schedule I</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Volumemetrics Tab and Managed Services (Only) Tab</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spacing w:after="240"/>
              <w:rPr>
                <w:rFonts w:eastAsia="Times New Roman"/>
                <w:color w:val="000000"/>
                <w:sz w:val="18"/>
                <w:szCs w:val="18"/>
              </w:rPr>
            </w:pPr>
            <w:r w:rsidRPr="007C4BDF">
              <w:rPr>
                <w:rFonts w:eastAsia="Times New Roman"/>
                <w:color w:val="000000"/>
                <w:sz w:val="18"/>
                <w:szCs w:val="18"/>
              </w:rPr>
              <w:t>In the Volumetrics Tab, under the section of “Other Devices (non-Server) - Managed Only” there are baseline quantities listed for a general group of equipment labeled as “Network, Security, Storage, Appliances, and other non-Server Devices”</w:t>
            </w:r>
            <w:r w:rsidRPr="007C4BDF">
              <w:rPr>
                <w:rFonts w:eastAsia="Times New Roman"/>
                <w:color w:val="000000"/>
                <w:sz w:val="18"/>
                <w:szCs w:val="18"/>
              </w:rPr>
              <w:br/>
            </w:r>
            <w:r w:rsidRPr="007C4BDF">
              <w:rPr>
                <w:rFonts w:eastAsia="Times New Roman"/>
                <w:color w:val="000000"/>
                <w:sz w:val="18"/>
                <w:szCs w:val="18"/>
              </w:rPr>
              <w:br/>
              <w:t xml:space="preserve">Please be aware that the service requirements for this group of equipment would vary greatly depending on the specific equipment manufacturer, model number, and the actual number of each type of equipment.  For instance, a single “appliance” could range from a very sophisticated database appliance requiring a great deal of labor to a very simple appliance that may not require much labor at all.  </w:t>
            </w:r>
            <w:r w:rsidRPr="007C4BDF">
              <w:rPr>
                <w:rFonts w:eastAsia="Times New Roman"/>
                <w:color w:val="000000"/>
                <w:sz w:val="18"/>
                <w:szCs w:val="18"/>
              </w:rPr>
              <w:br/>
            </w:r>
            <w:r w:rsidRPr="007C4BDF">
              <w:rPr>
                <w:rFonts w:eastAsia="Times New Roman"/>
                <w:color w:val="000000"/>
                <w:sz w:val="18"/>
                <w:szCs w:val="18"/>
              </w:rPr>
              <w:br/>
              <w:t>Given the current requirement to provide a single unit price for this entire group of equipment, please provide details on each type of equipment in this group and the baseline quantities for each type. If this equipment cannot be identified at this time, the Commonwealth may want to consider adding this type of equipment to the service catalog on an as-needed basis in an effort to reduce overall pricing.</w:t>
            </w:r>
            <w:r w:rsidRPr="007C4BDF">
              <w:rPr>
                <w:rFonts w:eastAsia="Times New Roman"/>
                <w:color w:val="000000"/>
                <w:sz w:val="18"/>
                <w:szCs w:val="18"/>
              </w:rPr>
              <w:br/>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“Network, Security, Storage, Appliances, and other non-Server Devices” section of Schedule I - Offeror Pricing Forms has been removed.  Schedule I has been revised to include this change.</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132</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F – Statement of Work </w:t>
            </w:r>
            <w:r w:rsidRPr="007C4BDF">
              <w:rPr>
                <w:rFonts w:eastAsia="Times New Roman"/>
                <w:sz w:val="18"/>
                <w:szCs w:val="18"/>
              </w:rPr>
              <w:br/>
              <w:t>(Amended 2.18.13)</w:t>
            </w:r>
            <w:r w:rsidRPr="007C4BDF">
              <w:rPr>
                <w:rFonts w:eastAsia="Times New Roman"/>
                <w:sz w:val="18"/>
                <w:szCs w:val="18"/>
              </w:rPr>
              <w:br/>
              <w:t>Schedule J – all</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3.2.4.7</w:t>
            </w:r>
            <w:r w:rsidRPr="007C4BDF">
              <w:rPr>
                <w:rFonts w:eastAsia="Times New Roman"/>
                <w:sz w:val="18"/>
                <w:szCs w:val="18"/>
              </w:rPr>
              <w:br/>
              <w:t>SL01-SL05</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128</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Which SLAs, if any, apply to database services? If any, how does the Commonwealth see the database service being measured beyond those SLAs applicable to the server resource unit SLAs? </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SL01 – SL05 take into consideration every infrastructure component for the application as related to the SLA ordered.</w:t>
            </w:r>
            <w:r w:rsidRPr="007C4BDF">
              <w:rPr>
                <w:rFonts w:eastAsia="Times New Roman"/>
                <w:sz w:val="18"/>
                <w:szCs w:val="18"/>
              </w:rPr>
              <w:br/>
            </w:r>
            <w:r w:rsidRPr="007C4BDF">
              <w:rPr>
                <w:rFonts w:eastAsia="Times New Roman"/>
                <w:sz w:val="18"/>
                <w:szCs w:val="18"/>
              </w:rPr>
              <w:br/>
              <w:t>The Offeror is responsible for the services ordered.  This includes database services.  Therefore, the selected Offeror will be responsible to make sure all of the associated services are working as designed and ordered.</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F – Statement of Work </w:t>
            </w:r>
            <w:r w:rsidRPr="007C4BDF">
              <w:rPr>
                <w:rFonts w:eastAsia="Times New Roman"/>
                <w:sz w:val="18"/>
                <w:szCs w:val="18"/>
              </w:rPr>
              <w:br/>
              <w:t>(Amended 2.18.13)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3.2.4.7</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128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which service tiers (Fully Managed, Managed Only, IaaS, etc.) are database services to be provided?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Database services may be required for all Tiers, based on the service ordered by the Commonwealth.  </w:t>
            </w:r>
            <w:r w:rsidRPr="007C4BDF">
              <w:rPr>
                <w:rFonts w:eastAsia="Times New Roman"/>
                <w:sz w:val="18"/>
                <w:szCs w:val="18"/>
              </w:rPr>
              <w:br/>
            </w:r>
            <w:r w:rsidRPr="007C4BDF">
              <w:rPr>
                <w:rFonts w:eastAsia="Times New Roman"/>
                <w:sz w:val="18"/>
                <w:szCs w:val="18"/>
              </w:rPr>
              <w:br/>
              <w:t>Other than those provided for in the rate card in Schedule I there are no Database Administration functions required.  The selected Offeror will be required to provide technical assistance to the Commonwealth’s DBA staff.</w:t>
            </w:r>
            <w:r w:rsidRPr="007C4BDF">
              <w:rPr>
                <w:rFonts w:eastAsia="Times New Roman"/>
                <w:sz w:val="18"/>
                <w:szCs w:val="18"/>
              </w:rPr>
              <w:br/>
              <w:t xml:space="preserve">Offerors may include a Database Administration as a service in the Service </w:t>
            </w:r>
            <w:r w:rsidR="00971603" w:rsidRPr="007C4BDF">
              <w:rPr>
                <w:rFonts w:eastAsia="Times New Roman"/>
                <w:sz w:val="18"/>
                <w:szCs w:val="18"/>
              </w:rPr>
              <w:t>Catalog.</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D – Transition Milestones</w:t>
            </w:r>
            <w:r w:rsidRPr="007C4BDF">
              <w:rPr>
                <w:rFonts w:eastAsia="Times New Roman"/>
                <w:sz w:val="18"/>
                <w:szCs w:val="18"/>
              </w:rPr>
              <w:br/>
              <w:t>Schedule F – Statement of Work</w:t>
            </w:r>
            <w:r w:rsidRPr="007C4BDF">
              <w:rPr>
                <w:rFonts w:eastAsia="Times New Roman"/>
                <w:sz w:val="18"/>
                <w:szCs w:val="18"/>
              </w:rPr>
              <w:br/>
              <w:t xml:space="preserve"> (Amended 2.18.13)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M-14</w:t>
            </w:r>
            <w:r w:rsidRPr="007C4BDF">
              <w:rPr>
                <w:rFonts w:eastAsia="Times New Roman"/>
                <w:sz w:val="18"/>
                <w:szCs w:val="18"/>
              </w:rPr>
              <w:br/>
              <w:t>3.3.2</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146</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In Schedule D – Transition Milestones Document (M-14) the target date for EDC Operational Transition Completion is 12/31/2014.  However, Schedule F – Statement of Work (3.3.2) states that the Offeror must assume operations support of the EDC datacenter within 90 days of Contract start date.  What is the difference between Operational Transition Completion and Operations support?  If these terms are the same, which completion date is actually required?</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EDC Operational Transition Completed milestone due date is 12/31/2014.  Schedule F - Datacenter Statement of Work has been revised to remove the reference to "Contract start date + 90 days.  </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D – Transition Milestones</w:t>
            </w:r>
            <w:r w:rsidRPr="007C4BDF">
              <w:rPr>
                <w:rFonts w:eastAsia="Times New Roman"/>
                <w:sz w:val="18"/>
                <w:szCs w:val="18"/>
              </w:rPr>
              <w:br/>
              <w:t xml:space="preserve">Schedule F – Statement of Work </w:t>
            </w:r>
            <w:r w:rsidRPr="007C4BDF">
              <w:rPr>
                <w:rFonts w:eastAsia="Times New Roman"/>
                <w:sz w:val="18"/>
                <w:szCs w:val="18"/>
              </w:rPr>
              <w:br/>
              <w:t>(Amended 2.18.13)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M-14</w:t>
            </w:r>
            <w:r w:rsidRPr="007C4BDF">
              <w:rPr>
                <w:rFonts w:eastAsia="Times New Roman"/>
                <w:sz w:val="18"/>
                <w:szCs w:val="18"/>
              </w:rPr>
              <w:br/>
              <w:t>3.3.2</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146</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When does the 90-day takeover for the EDC period to begin? What does this takeover entail (e.g. operational take-over of the environment, service desk, ITSM support,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EDC Operational Transition Completed milestone due date is 12/31/2014.  Schedule F - Datacenter Statement of Work has been revised to remove the reference to "Contract start date + 90 days.  Refer to Schedule D - Transition Milestones for milestone acceptance criteria.</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Schedule D – Transition Milestones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General</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To aid transition, will the Offeror be allowed to install device and security discovery tools within the existing agency environments? If so, what will be required to gain the needed network and device access?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Yes, with Commonwealth approval.  Prior to installing these items on the Commonwealth’s network, the selected Offeror must have the appropriate background checks and the devices and network requirements must be vetted with the Commonwealth’s Chief Information Security Officer to ensure there will be no harm or loss of Commonwealth data or disruption to network resources.</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F – Statement of Work </w:t>
            </w:r>
            <w:r w:rsidRPr="007C4BDF">
              <w:rPr>
                <w:rFonts w:eastAsia="Times New Roman"/>
                <w:sz w:val="18"/>
                <w:szCs w:val="18"/>
              </w:rPr>
              <w:br/>
              <w:t>(Amended 2.18.13)</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2.3.4 #1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11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If security vulnerability assessments of the existing agency environments indicate the need for agency security remediation, will the consequences of this remediation be taken into consideration with regards to the transition timelines and key milestones?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Identifying these impacts will be part of the transition planning and should be taken into consideration by the Offerors in their planning.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J.3 SLAs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General</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Please confirm that SLAs will not apply prior to the completion of an agency, DPH, or EDC transitions?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SLAs will apply once an application is transitioned.</w:t>
            </w:r>
          </w:p>
        </w:tc>
      </w:tr>
      <w:tr w:rsidR="007C4BDF" w:rsidRPr="007C4BDF" w:rsidTr="007C4BDF">
        <w:trPr>
          <w:trHeight w:val="14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139</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Appendix A</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II-8</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20</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Can the Commonwealth please confirm the intent that the proposals are based on the terms and conditions set out in Appendix A so that the Commonwealth can compare proposals on an apples to apples basis, then later intending to negotiate the terms and conditions as highlighted in the RFP submission from the Offeror in good faith after award to the winning proposal?</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intent of Part II-8 is to ensure all proposals are based on the terms and conditions set out in Appendix A.  The Issuing Office may, in its sole discretion, accept or reject any requested changes to the terms and conditions.  The Issuing Office will reject any proposal that is conditioned on the negotiation of the terms and conditions set out in Appendix A.</w:t>
            </w:r>
          </w:p>
        </w:tc>
      </w:tr>
      <w:tr w:rsidR="007C4BDF" w:rsidRPr="007C4BDF" w:rsidTr="007C4BDF">
        <w:trPr>
          <w:trHeight w:val="55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140</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F, COPA Data </w:t>
            </w:r>
            <w:r w:rsidRPr="007C4BDF">
              <w:rPr>
                <w:rFonts w:eastAsia="Times New Roman"/>
                <w:sz w:val="18"/>
                <w:szCs w:val="18"/>
              </w:rPr>
              <w:br/>
              <w:t>Center Statement of Work</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3.2.4.7</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Database Services</w:t>
            </w:r>
            <w:r w:rsidRPr="007C4BDF">
              <w:rPr>
                <w:rFonts w:eastAsia="Times New Roman"/>
                <w:sz w:val="18"/>
                <w:szCs w:val="18"/>
              </w:rPr>
              <w:br/>
              <w:t>Page 128</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RDMS instances and types executing on all z/Os and z/VSE LPARs (e.g., DB2, IMS, Oracle)?</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The Commonwealth can provide the following information regarding RDMS instances.</w:t>
            </w:r>
            <w:r w:rsidRPr="007C4BDF">
              <w:rPr>
                <w:rFonts w:eastAsia="Times New Roman"/>
                <w:sz w:val="18"/>
                <w:szCs w:val="18"/>
              </w:rPr>
              <w:br/>
            </w:r>
            <w:r w:rsidRPr="007C4BDF">
              <w:rPr>
                <w:rFonts w:eastAsia="Times New Roman"/>
                <w:sz w:val="18"/>
                <w:szCs w:val="18"/>
              </w:rPr>
              <w:br/>
              <w:t>DPW has two AS400 LPARs, both of which run DB2.</w:t>
            </w:r>
            <w:r w:rsidRPr="007C4BDF">
              <w:rPr>
                <w:rFonts w:eastAsia="Times New Roman"/>
                <w:sz w:val="18"/>
                <w:szCs w:val="18"/>
              </w:rPr>
              <w:br/>
            </w:r>
            <w:r w:rsidRPr="007C4BDF">
              <w:rPr>
                <w:rFonts w:eastAsia="Times New Roman"/>
                <w:sz w:val="18"/>
                <w:szCs w:val="18"/>
              </w:rPr>
              <w:br/>
              <w:t>DOR has the following:</w:t>
            </w:r>
            <w:r w:rsidRPr="007C4BDF">
              <w:rPr>
                <w:rFonts w:eastAsia="Times New Roman"/>
                <w:sz w:val="18"/>
                <w:szCs w:val="18"/>
              </w:rPr>
              <w:br/>
              <w:t xml:space="preserve">• Production - Relational DBMS: DB2P, DB2R, DB2T, DSN </w:t>
            </w:r>
            <w:r w:rsidRPr="007C4BDF">
              <w:rPr>
                <w:rFonts w:eastAsia="Times New Roman"/>
                <w:sz w:val="18"/>
                <w:szCs w:val="18"/>
              </w:rPr>
              <w:br/>
              <w:t xml:space="preserve">• Production Hierarchical DBMS: IMS, IMSB            </w:t>
            </w:r>
            <w:r w:rsidRPr="007C4BDF">
              <w:rPr>
                <w:rFonts w:eastAsia="Times New Roman"/>
                <w:sz w:val="18"/>
                <w:szCs w:val="18"/>
              </w:rPr>
              <w:br/>
              <w:t xml:space="preserve">• Test - Relational DBMS: DB2B </w:t>
            </w:r>
            <w:r w:rsidRPr="007C4BDF">
              <w:rPr>
                <w:rFonts w:eastAsia="Times New Roman"/>
                <w:sz w:val="18"/>
                <w:szCs w:val="18"/>
              </w:rPr>
              <w:br/>
              <w:t>• Test Hierarchical DBMS: IMSZ</w:t>
            </w:r>
            <w:r w:rsidRPr="007C4BDF">
              <w:rPr>
                <w:rFonts w:eastAsia="Times New Roman"/>
                <w:sz w:val="18"/>
                <w:szCs w:val="18"/>
              </w:rPr>
              <w:br/>
            </w:r>
            <w:r w:rsidRPr="007C4BDF">
              <w:rPr>
                <w:rFonts w:eastAsia="Times New Roman"/>
                <w:sz w:val="18"/>
                <w:szCs w:val="18"/>
              </w:rPr>
              <w:br/>
              <w:t>PennDOT has the following:</w:t>
            </w:r>
            <w:r w:rsidRPr="007C4BDF">
              <w:rPr>
                <w:rFonts w:eastAsia="Times New Roman"/>
                <w:sz w:val="18"/>
                <w:szCs w:val="18"/>
              </w:rPr>
              <w:br/>
              <w:t xml:space="preserve">RDMS instances: z/OS: IMS is used in Sandbox (PDTT), Pre-Prod (PDT1) and Prod (PDT0) 1 instance pre environment, DB2 is used in Sandbox (PDTT) 1 instance, Pre-Prod (PDT1) 5 instances and Prod (PDT0) 2 instances. z/VM: Oracle is used in Pre-Prod (DOTLNX01) 7 instances and Prod (DOTLNX02) 2 instances. </w:t>
            </w:r>
            <w:r w:rsidRPr="007C4BDF">
              <w:rPr>
                <w:rFonts w:eastAsia="Times New Roman"/>
                <w:sz w:val="18"/>
                <w:szCs w:val="18"/>
              </w:rPr>
              <w:br/>
            </w:r>
            <w:r w:rsidRPr="007C4BDF">
              <w:rPr>
                <w:rFonts w:eastAsia="Times New Roman"/>
                <w:sz w:val="18"/>
                <w:szCs w:val="18"/>
              </w:rPr>
              <w:br/>
              <w:t>L&amp;I has one (1) instance DB2 z/OS, one instance IMS.</w:t>
            </w:r>
            <w:r w:rsidRPr="007C4BDF">
              <w:rPr>
                <w:rFonts w:eastAsia="Times New Roman"/>
                <w:sz w:val="18"/>
                <w:szCs w:val="18"/>
              </w:rPr>
              <w:br/>
            </w:r>
            <w:r w:rsidRPr="007C4BDF">
              <w:rPr>
                <w:rFonts w:eastAsia="Times New Roman"/>
                <w:sz w:val="18"/>
                <w:szCs w:val="18"/>
              </w:rPr>
              <w:br/>
              <w:t>Any additional information will be documented as part of the discovery process in transition planning.</w:t>
            </w:r>
          </w:p>
        </w:tc>
      </w:tr>
      <w:tr w:rsidR="007C4BDF" w:rsidRPr="007C4BDF" w:rsidTr="007C4BDF">
        <w:trPr>
          <w:trHeight w:val="48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141</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Schedule F, COPA Data </w:t>
            </w:r>
            <w:r w:rsidRPr="007C4BDF">
              <w:rPr>
                <w:rFonts w:eastAsia="Times New Roman"/>
                <w:sz w:val="18"/>
                <w:szCs w:val="18"/>
              </w:rPr>
              <w:br/>
              <w:t>Center Statement of Work</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3.2.4.5</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Mainframe Services</w:t>
            </w:r>
            <w:r w:rsidRPr="007C4BDF">
              <w:rPr>
                <w:rFonts w:eastAsia="Times New Roman"/>
                <w:sz w:val="18"/>
                <w:szCs w:val="18"/>
              </w:rPr>
              <w:br/>
              <w:t>Page 116</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number of CICS regions and MQ Series regions running on all z/OS and z/VSE LPARs?</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The Commonwealth can provide the following information regarding the number of CICS regions and MQ Series regions running on all z/OS and z/VSE LPARs.</w:t>
            </w:r>
            <w:r w:rsidRPr="007C4BDF">
              <w:rPr>
                <w:rFonts w:eastAsia="Times New Roman"/>
                <w:sz w:val="18"/>
                <w:szCs w:val="18"/>
              </w:rPr>
              <w:br/>
            </w:r>
            <w:r w:rsidRPr="007C4BDF">
              <w:rPr>
                <w:rFonts w:eastAsia="Times New Roman"/>
                <w:sz w:val="18"/>
                <w:szCs w:val="18"/>
              </w:rPr>
              <w:br/>
            </w:r>
            <w:r w:rsidRPr="007C4BDF">
              <w:rPr>
                <w:rFonts w:eastAsia="Times New Roman"/>
                <w:sz w:val="18"/>
                <w:szCs w:val="18"/>
              </w:rPr>
              <w:br/>
              <w:t>Neither DPW LPAR uses CICS or MQ Series.</w:t>
            </w:r>
            <w:r w:rsidRPr="007C4BDF">
              <w:rPr>
                <w:rFonts w:eastAsia="Times New Roman"/>
                <w:sz w:val="18"/>
                <w:szCs w:val="18"/>
              </w:rPr>
              <w:br/>
            </w:r>
            <w:r w:rsidRPr="007C4BDF">
              <w:rPr>
                <w:rFonts w:eastAsia="Times New Roman"/>
                <w:sz w:val="18"/>
                <w:szCs w:val="18"/>
              </w:rPr>
              <w:br/>
              <w:t>DOR is running the following:</w:t>
            </w:r>
            <w:r w:rsidRPr="007C4BDF">
              <w:rPr>
                <w:rFonts w:eastAsia="Times New Roman"/>
                <w:sz w:val="18"/>
                <w:szCs w:val="18"/>
              </w:rPr>
              <w:br/>
              <w:t>• 10 CICS regions on the production LPAR and 1 CICS region on the Dev/Test LPAR.</w:t>
            </w:r>
            <w:r w:rsidRPr="007C4BDF">
              <w:rPr>
                <w:rFonts w:eastAsia="Times New Roman"/>
                <w:sz w:val="18"/>
                <w:szCs w:val="18"/>
              </w:rPr>
              <w:br/>
              <w:t>• WebSphere MQ managers is running 2 on the production LPAR and 1 on the 1 on the Dev/Test LPAR.</w:t>
            </w:r>
            <w:r w:rsidRPr="007C4BDF">
              <w:rPr>
                <w:rFonts w:eastAsia="Times New Roman"/>
                <w:sz w:val="18"/>
                <w:szCs w:val="18"/>
              </w:rPr>
              <w:br/>
              <w:t>• DOR is not using z/VSE operating system. Just z/OS.</w:t>
            </w:r>
            <w:r w:rsidRPr="007C4BDF">
              <w:rPr>
                <w:rFonts w:eastAsia="Times New Roman"/>
                <w:sz w:val="18"/>
                <w:szCs w:val="18"/>
              </w:rPr>
              <w:br/>
            </w:r>
            <w:r w:rsidRPr="007C4BDF">
              <w:rPr>
                <w:rFonts w:eastAsia="Times New Roman"/>
                <w:sz w:val="18"/>
                <w:szCs w:val="18"/>
              </w:rPr>
              <w:br/>
              <w:t>PennDOT uses WMQ in z/OS: Sandbox (PDTT), Pre-Prod (PDT1) and Prod (PDT0 and in z/VM: Pre-Prod (DOTLNX01) and Prod (DOTLNX02).</w:t>
            </w:r>
            <w:r w:rsidRPr="007C4BDF">
              <w:rPr>
                <w:rFonts w:eastAsia="Times New Roman"/>
                <w:sz w:val="18"/>
                <w:szCs w:val="18"/>
              </w:rPr>
              <w:br/>
            </w:r>
            <w:r w:rsidRPr="007C4BDF">
              <w:rPr>
                <w:rFonts w:eastAsia="Times New Roman"/>
                <w:sz w:val="18"/>
                <w:szCs w:val="18"/>
              </w:rPr>
              <w:br/>
              <w:t>L&amp;I is using 6 IMS, 5 CICS, and 2 MQ</w:t>
            </w:r>
          </w:p>
        </w:tc>
      </w:tr>
      <w:tr w:rsidR="007C4BDF" w:rsidRPr="007C4BDF" w:rsidTr="007C4BDF">
        <w:trPr>
          <w:trHeight w:val="6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B.1, DPH-Asset List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Mainframes-IBM Tab</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spacing w:after="240"/>
              <w:rPr>
                <w:rFonts w:eastAsia="Times New Roman"/>
                <w:color w:val="000000"/>
                <w:sz w:val="18"/>
                <w:szCs w:val="18"/>
              </w:rPr>
            </w:pPr>
            <w:r w:rsidRPr="007C4BDF">
              <w:rPr>
                <w:rFonts w:eastAsia="Times New Roman"/>
                <w:color w:val="000000"/>
                <w:sz w:val="18"/>
                <w:szCs w:val="18"/>
              </w:rPr>
              <w:t>a. Would the Commonwealth please confirm if there are a total of two or three 3584 dedicated tape libraries?</w:t>
            </w:r>
            <w:r w:rsidRPr="007C4BDF">
              <w:rPr>
                <w:rFonts w:eastAsia="Times New Roman"/>
                <w:color w:val="000000"/>
                <w:sz w:val="18"/>
                <w:szCs w:val="18"/>
              </w:rPr>
              <w:br/>
              <w:t xml:space="preserve"> </w:t>
            </w:r>
            <w:r w:rsidRPr="007C4BDF">
              <w:rPr>
                <w:rFonts w:eastAsia="Times New Roman"/>
                <w:color w:val="000000"/>
                <w:sz w:val="18"/>
                <w:szCs w:val="18"/>
              </w:rPr>
              <w:br/>
              <w:t xml:space="preserve">b. Please confirm the configuration of these libraries and their functions. </w:t>
            </w:r>
            <w:r w:rsidRPr="007C4BDF">
              <w:rPr>
                <w:rFonts w:eastAsia="Times New Roman"/>
                <w:color w:val="000000"/>
                <w:sz w:val="18"/>
                <w:szCs w:val="18"/>
              </w:rPr>
              <w:br/>
              <w:t xml:space="preserve"> For example:</w:t>
            </w:r>
            <w:r w:rsidRPr="007C4BDF">
              <w:rPr>
                <w:rFonts w:eastAsia="Times New Roman"/>
                <w:color w:val="000000"/>
                <w:sz w:val="18"/>
                <w:szCs w:val="18"/>
              </w:rPr>
              <w:br/>
              <w:t>1 – 3584-L53 frame</w:t>
            </w:r>
            <w:r w:rsidRPr="007C4BDF">
              <w:rPr>
                <w:rFonts w:eastAsia="Times New Roman"/>
                <w:color w:val="000000"/>
                <w:sz w:val="18"/>
                <w:szCs w:val="18"/>
              </w:rPr>
              <w:br/>
              <w:t>5 – 3584-D53 frames</w:t>
            </w:r>
            <w:r w:rsidRPr="007C4BDF">
              <w:rPr>
                <w:rFonts w:eastAsia="Times New Roman"/>
                <w:color w:val="000000"/>
                <w:sz w:val="18"/>
                <w:szCs w:val="18"/>
              </w:rPr>
              <w:br/>
              <w:t>8 – 3588-F4A (LTO3 drives)</w:t>
            </w:r>
            <w:r w:rsidRPr="007C4BDF">
              <w:rPr>
                <w:rFonts w:eastAsia="Times New Roman"/>
                <w:color w:val="000000"/>
                <w:sz w:val="18"/>
                <w:szCs w:val="18"/>
              </w:rPr>
              <w:br/>
              <w:t>1 – HA feature code</w:t>
            </w:r>
            <w:r w:rsidRPr="007C4BDF">
              <w:rPr>
                <w:rFonts w:eastAsia="Times New Roman"/>
                <w:color w:val="000000"/>
                <w:sz w:val="18"/>
                <w:szCs w:val="18"/>
              </w:rPr>
              <w:br/>
              <w:t>This library is used to back up the z/LINUX environment.</w:t>
            </w:r>
            <w:r w:rsidRPr="007C4BDF">
              <w:rPr>
                <w:rFonts w:eastAsia="Times New Roman"/>
                <w:color w:val="000000"/>
                <w:sz w:val="18"/>
                <w:szCs w:val="18"/>
              </w:rPr>
              <w:br/>
            </w:r>
            <w:r w:rsidRPr="007C4BDF">
              <w:rPr>
                <w:rFonts w:eastAsia="Times New Roman"/>
                <w:color w:val="000000"/>
                <w:sz w:val="18"/>
                <w:szCs w:val="18"/>
              </w:rPr>
              <w:br/>
              <w:t xml:space="preserve">c. Are the two TS7740s libraries in a GRID configuration? </w:t>
            </w:r>
            <w:r w:rsidRPr="007C4BDF">
              <w:rPr>
                <w:rFonts w:eastAsia="Times New Roman"/>
                <w:color w:val="000000"/>
                <w:sz w:val="18"/>
                <w:szCs w:val="18"/>
              </w:rPr>
              <w:br/>
            </w:r>
            <w:r w:rsidRPr="007C4BDF">
              <w:rPr>
                <w:rFonts w:eastAsia="Times New Roman"/>
                <w:color w:val="000000"/>
                <w:sz w:val="18"/>
                <w:szCs w:val="18"/>
              </w:rPr>
              <w:br/>
              <w:t>d. Please confirm that the 3592-J70 controllers are used to support the 3590-H11 tape drives.</w:t>
            </w:r>
            <w:r w:rsidRPr="007C4BDF">
              <w:rPr>
                <w:rFonts w:eastAsia="Times New Roman"/>
                <w:color w:val="000000"/>
                <w:sz w:val="18"/>
                <w:szCs w:val="18"/>
              </w:rPr>
              <w:br/>
            </w:r>
            <w:r w:rsidRPr="007C4BDF">
              <w:rPr>
                <w:rFonts w:eastAsia="Times New Roman"/>
                <w:color w:val="000000"/>
                <w:sz w:val="18"/>
                <w:szCs w:val="18"/>
              </w:rPr>
              <w:br/>
              <w:t>e. What is the cache size for each TS7740 Virtual Tape Engine?</w:t>
            </w:r>
            <w:r w:rsidRPr="007C4BDF">
              <w:rPr>
                <w:rFonts w:eastAsia="Times New Roman"/>
                <w:color w:val="000000"/>
                <w:sz w:val="18"/>
                <w:szCs w:val="18"/>
              </w:rPr>
              <w:br/>
            </w:r>
            <w:r w:rsidRPr="007C4BDF">
              <w:rPr>
                <w:rFonts w:eastAsia="Times New Roman"/>
                <w:color w:val="000000"/>
                <w:sz w:val="18"/>
                <w:szCs w:val="18"/>
              </w:rPr>
              <w:br/>
              <w:t>f. Are you currently using encrypting data going to the 3592-E05 and/or 3592-E06 tape drives?  I</w:t>
            </w:r>
            <w:r w:rsidRPr="007C4BDF">
              <w:rPr>
                <w:rFonts w:eastAsia="Times New Roman"/>
                <w:color w:val="000000"/>
                <w:sz w:val="18"/>
                <w:szCs w:val="18"/>
              </w:rPr>
              <w:br/>
              <w:t>f.1  so, is the Commonwealth using software or hardware encryption?</w:t>
            </w:r>
            <w:r w:rsidRPr="007C4BDF">
              <w:rPr>
                <w:rFonts w:eastAsia="Times New Roman"/>
                <w:color w:val="000000"/>
                <w:sz w:val="18"/>
                <w:szCs w:val="18"/>
              </w:rPr>
              <w:br/>
              <w:t xml:space="preserve">f.2 If the Commonwealth is using hardware encryption, what is used for the key management (i.e., EKM, TKLM, or ISKLM)? </w:t>
            </w:r>
            <w:r w:rsidRPr="007C4BDF">
              <w:rPr>
                <w:rFonts w:eastAsia="Times New Roman"/>
                <w:color w:val="000000"/>
                <w:sz w:val="18"/>
                <w:szCs w:val="18"/>
              </w:rPr>
              <w:br/>
              <w:t>f.3 Is the key management software installs in z/platform or on a midrange platform?</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 There are three 3584 dedicated tape libraries.</w:t>
            </w:r>
            <w:r w:rsidRPr="007C4BDF">
              <w:rPr>
                <w:rFonts w:eastAsia="Times New Roman"/>
                <w:color w:val="000000"/>
                <w:sz w:val="18"/>
                <w:szCs w:val="18"/>
              </w:rPr>
              <w:br/>
              <w:t xml:space="preserve"> </w:t>
            </w:r>
            <w:r w:rsidRPr="007C4BDF">
              <w:rPr>
                <w:rFonts w:eastAsia="Times New Roman"/>
                <w:color w:val="000000"/>
                <w:sz w:val="18"/>
                <w:szCs w:val="18"/>
              </w:rPr>
              <w:br/>
              <w:t>b. Reference Exhibit B1.  If questions remain, please provide clarification</w:t>
            </w:r>
            <w:r w:rsidRPr="007C4BDF">
              <w:rPr>
                <w:rFonts w:eastAsia="Times New Roman"/>
                <w:color w:val="000000"/>
                <w:sz w:val="18"/>
                <w:szCs w:val="18"/>
              </w:rPr>
              <w:br/>
            </w:r>
            <w:r w:rsidRPr="007C4BDF">
              <w:rPr>
                <w:rFonts w:eastAsia="Times New Roman"/>
                <w:color w:val="000000"/>
                <w:sz w:val="18"/>
                <w:szCs w:val="18"/>
              </w:rPr>
              <w:br/>
              <w:t>c. Yes</w:t>
            </w:r>
            <w:r w:rsidRPr="007C4BDF">
              <w:rPr>
                <w:rFonts w:eastAsia="Times New Roman"/>
                <w:color w:val="000000"/>
                <w:sz w:val="18"/>
                <w:szCs w:val="18"/>
              </w:rPr>
              <w:br/>
            </w:r>
            <w:r w:rsidRPr="007C4BDF">
              <w:rPr>
                <w:rFonts w:eastAsia="Times New Roman"/>
                <w:color w:val="000000"/>
                <w:sz w:val="18"/>
                <w:szCs w:val="18"/>
              </w:rPr>
              <w:br/>
              <w:t>d. The 3592-J70 controllers are used to support the 3590-H11 tape drives</w:t>
            </w:r>
            <w:r w:rsidRPr="007C4BDF">
              <w:rPr>
                <w:rFonts w:eastAsia="Times New Roman"/>
                <w:color w:val="000000"/>
                <w:sz w:val="18"/>
                <w:szCs w:val="18"/>
              </w:rPr>
              <w:br/>
            </w:r>
            <w:r w:rsidRPr="007C4BDF">
              <w:rPr>
                <w:rFonts w:eastAsia="Times New Roman"/>
                <w:color w:val="000000"/>
                <w:sz w:val="18"/>
                <w:szCs w:val="18"/>
              </w:rPr>
              <w:br/>
              <w:t>e. 16GB</w:t>
            </w:r>
            <w:r w:rsidRPr="007C4BDF">
              <w:rPr>
                <w:rFonts w:eastAsia="Times New Roman"/>
                <w:color w:val="000000"/>
                <w:sz w:val="18"/>
                <w:szCs w:val="18"/>
              </w:rPr>
              <w:br/>
            </w:r>
            <w:r w:rsidRPr="007C4BDF">
              <w:rPr>
                <w:rFonts w:eastAsia="Times New Roman"/>
                <w:color w:val="000000"/>
                <w:sz w:val="18"/>
                <w:szCs w:val="18"/>
              </w:rPr>
              <w:br/>
              <w:t>f. Data encryption requirements are agency and application specific and will be documented as part of the discovery process in transition planning.</w:t>
            </w:r>
          </w:p>
        </w:tc>
      </w:tr>
      <w:tr w:rsidR="007C4BDF" w:rsidRPr="007C4BDF" w:rsidTr="007C4BDF">
        <w:trPr>
          <w:trHeight w:val="819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143</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3.2.4.5</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Mainframe Services</w:t>
            </w:r>
            <w:r w:rsidRPr="007C4BDF">
              <w:rPr>
                <w:rFonts w:eastAsia="Times New Roman"/>
                <w:sz w:val="18"/>
                <w:szCs w:val="18"/>
              </w:rPr>
              <w:br/>
              <w:t>Page 116</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provide information on the batch environment including the following data items:</w:t>
            </w:r>
            <w:r w:rsidRPr="007C4BDF">
              <w:rPr>
                <w:rFonts w:eastAsia="Times New Roman"/>
                <w:color w:val="000000"/>
                <w:sz w:val="18"/>
                <w:szCs w:val="18"/>
              </w:rPr>
              <w:br/>
              <w:t>1) Number of batch jobs that execute on all the z/OS, z/VM, and z/VSE LPARs</w:t>
            </w:r>
            <w:r w:rsidRPr="007C4BDF">
              <w:rPr>
                <w:rFonts w:eastAsia="Times New Roman"/>
                <w:color w:val="000000"/>
                <w:sz w:val="18"/>
                <w:szCs w:val="18"/>
              </w:rPr>
              <w:br/>
              <w:t>2) Abend Ratio (number of abends expressed as a percentage of executed jobs)</w:t>
            </w:r>
            <w:r w:rsidRPr="007C4BDF">
              <w:rPr>
                <w:rFonts w:eastAsia="Times New Roman"/>
                <w:color w:val="000000"/>
                <w:sz w:val="18"/>
                <w:szCs w:val="18"/>
              </w:rPr>
              <w:br/>
              <w:t>3) On a monthly basis, the average number of adhoc batch requests</w:t>
            </w:r>
            <w:r w:rsidRPr="007C4BDF">
              <w:rPr>
                <w:rFonts w:eastAsia="Times New Roman"/>
                <w:color w:val="000000"/>
                <w:sz w:val="18"/>
                <w:szCs w:val="18"/>
              </w:rPr>
              <w:br/>
              <w:t>4) On a monthly basis, the average number of change requests to the monthly batch schedules</w:t>
            </w:r>
            <w:r w:rsidRPr="007C4BDF">
              <w:rPr>
                <w:rFonts w:eastAsia="Times New Roman"/>
                <w:color w:val="000000"/>
                <w:sz w:val="18"/>
                <w:szCs w:val="18"/>
              </w:rPr>
              <w:br/>
              <w:t>5) On a monthly basis, the average number of new batch requests added to the batch schedule</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following is the available agency specific information on the batch environment: </w:t>
            </w:r>
            <w:r w:rsidRPr="007C4BDF">
              <w:rPr>
                <w:rFonts w:eastAsia="Times New Roman"/>
                <w:sz w:val="18"/>
                <w:szCs w:val="18"/>
              </w:rPr>
              <w:br/>
            </w:r>
            <w:r w:rsidRPr="007C4BDF">
              <w:rPr>
                <w:rFonts w:eastAsia="Times New Roman"/>
                <w:sz w:val="18"/>
                <w:szCs w:val="18"/>
              </w:rPr>
              <w:br/>
              <w:t xml:space="preserve">DPW:  </w:t>
            </w:r>
            <w:r w:rsidRPr="007C4BDF">
              <w:rPr>
                <w:rFonts w:eastAsia="Times New Roman"/>
                <w:sz w:val="18"/>
                <w:szCs w:val="18"/>
              </w:rPr>
              <w:br/>
              <w:t xml:space="preserve">1) Between the two LPARs, there are approximately 40 monthly batch jobs, 40 weekly batch jobs, and 25 daily batch jobs.  </w:t>
            </w:r>
            <w:r w:rsidRPr="007C4BDF">
              <w:rPr>
                <w:rFonts w:eastAsia="Times New Roman"/>
                <w:sz w:val="18"/>
                <w:szCs w:val="18"/>
              </w:rPr>
              <w:br/>
              <w:t>2) Abends are rare as are batch job changes.</w:t>
            </w:r>
            <w:r w:rsidRPr="007C4BDF">
              <w:rPr>
                <w:rFonts w:eastAsia="Times New Roman"/>
                <w:sz w:val="18"/>
                <w:szCs w:val="18"/>
              </w:rPr>
              <w:br/>
              <w:t>3)</w:t>
            </w:r>
            <w:r w:rsidR="00971603">
              <w:rPr>
                <w:rFonts w:eastAsia="Times New Roman"/>
                <w:sz w:val="18"/>
                <w:szCs w:val="18"/>
              </w:rPr>
              <w:t xml:space="preserve"> </w:t>
            </w:r>
            <w:r w:rsidRPr="007C4BDF">
              <w:rPr>
                <w:rFonts w:eastAsia="Times New Roman"/>
                <w:sz w:val="18"/>
                <w:szCs w:val="18"/>
              </w:rPr>
              <w:t xml:space="preserve">On average, there are approximately  8 ad hoc batch jobs a month. </w:t>
            </w:r>
            <w:r w:rsidRPr="007C4BDF">
              <w:rPr>
                <w:rFonts w:eastAsia="Times New Roman"/>
                <w:sz w:val="18"/>
                <w:szCs w:val="18"/>
              </w:rPr>
              <w:br/>
              <w:t>4) New requests are less than one a month.</w:t>
            </w:r>
            <w:r w:rsidRPr="007C4BDF">
              <w:rPr>
                <w:rFonts w:eastAsia="Times New Roman"/>
                <w:sz w:val="18"/>
                <w:szCs w:val="18"/>
              </w:rPr>
              <w:br/>
              <w:t>5) The average number of batch requests added will be documented as part of the discovery process in transition planning.</w:t>
            </w:r>
            <w:r w:rsidRPr="007C4BDF">
              <w:rPr>
                <w:rFonts w:eastAsia="Times New Roman"/>
                <w:sz w:val="18"/>
                <w:szCs w:val="18"/>
              </w:rPr>
              <w:br/>
            </w:r>
            <w:r w:rsidRPr="007C4BDF">
              <w:rPr>
                <w:rFonts w:eastAsia="Times New Roman"/>
                <w:sz w:val="18"/>
                <w:szCs w:val="18"/>
              </w:rPr>
              <w:br/>
              <w:t xml:space="preserve">DOR:  </w:t>
            </w:r>
            <w:r w:rsidRPr="007C4BDF">
              <w:rPr>
                <w:rFonts w:eastAsia="Times New Roman"/>
                <w:sz w:val="18"/>
                <w:szCs w:val="18"/>
              </w:rPr>
              <w:br/>
              <w:t>1) The number of batch jobs will be documented as part of the discovery process in transition planning.</w:t>
            </w:r>
            <w:r w:rsidRPr="007C4BDF">
              <w:rPr>
                <w:rFonts w:eastAsia="Times New Roman"/>
                <w:sz w:val="18"/>
                <w:szCs w:val="18"/>
              </w:rPr>
              <w:br/>
              <w:t>2) Abend Ratio around 12 % (49,465 jobs, 602 abends for the month)</w:t>
            </w:r>
            <w:r w:rsidRPr="007C4BDF">
              <w:rPr>
                <w:rFonts w:eastAsia="Times New Roman"/>
                <w:sz w:val="18"/>
                <w:szCs w:val="18"/>
              </w:rPr>
              <w:br/>
              <w:t xml:space="preserve">3) Average AdHoc requests per month are about 200 to 300(busy month)                        </w:t>
            </w:r>
            <w:r w:rsidRPr="007C4BDF">
              <w:rPr>
                <w:rFonts w:eastAsia="Times New Roman"/>
                <w:sz w:val="18"/>
                <w:szCs w:val="18"/>
              </w:rPr>
              <w:br/>
              <w:t xml:space="preserve">4) more than 300        </w:t>
            </w:r>
            <w:r w:rsidRPr="007C4BDF">
              <w:rPr>
                <w:rFonts w:eastAsia="Times New Roman"/>
                <w:sz w:val="18"/>
                <w:szCs w:val="18"/>
              </w:rPr>
              <w:br/>
              <w:t xml:space="preserve">5)  The average number of batch requests added will be documented as part of the discovery process in transition planning.                                   </w:t>
            </w:r>
            <w:r w:rsidRPr="007C4BDF">
              <w:rPr>
                <w:rFonts w:eastAsia="Times New Roman"/>
                <w:sz w:val="18"/>
                <w:szCs w:val="18"/>
              </w:rPr>
              <w:br/>
            </w:r>
            <w:r w:rsidRPr="007C4BDF">
              <w:rPr>
                <w:rFonts w:eastAsia="Times New Roman"/>
                <w:sz w:val="18"/>
                <w:szCs w:val="18"/>
              </w:rPr>
              <w:br/>
              <w:t>PennDOT:</w:t>
            </w:r>
            <w:r w:rsidRPr="007C4BDF">
              <w:rPr>
                <w:rFonts w:eastAsia="Times New Roman"/>
                <w:sz w:val="18"/>
                <w:szCs w:val="18"/>
              </w:rPr>
              <w:br/>
              <w:t xml:space="preserve">PennDOT currently uses IBM Tivoli Workload Scheduler (TWS) for scheduling jobs.  PennDOT is responsible for managing, submitting, controlling the TWS applications and DPH IBM monitors the jobs.  </w:t>
            </w:r>
            <w:r w:rsidRPr="007C4BDF">
              <w:rPr>
                <w:rFonts w:eastAsia="Times New Roman"/>
                <w:sz w:val="18"/>
                <w:szCs w:val="18"/>
              </w:rPr>
              <w:br/>
              <w:t>1) The number of batch jobs will be documented as part of the discovery process in transition planning.</w:t>
            </w:r>
            <w:r w:rsidRPr="007C4BDF">
              <w:rPr>
                <w:rFonts w:eastAsia="Times New Roman"/>
                <w:sz w:val="18"/>
                <w:szCs w:val="18"/>
              </w:rPr>
              <w:br/>
              <w:t>2) The abend ratio will be documented as part of the discovery process in transition planning.</w:t>
            </w:r>
            <w:r w:rsidRPr="007C4BDF">
              <w:rPr>
                <w:rFonts w:eastAsia="Times New Roman"/>
                <w:sz w:val="18"/>
                <w:szCs w:val="18"/>
              </w:rPr>
              <w:br/>
              <w:t>3) The number of AdHoc batch requests will be documented as part of the discovery process in transition planning.</w:t>
            </w:r>
            <w:r w:rsidRPr="007C4BDF">
              <w:rPr>
                <w:rFonts w:eastAsia="Times New Roman"/>
                <w:sz w:val="18"/>
                <w:szCs w:val="18"/>
              </w:rPr>
              <w:br/>
              <w:t>4) the number of change requests will be documented as part of the discovery process in transition planning.</w:t>
            </w:r>
            <w:r w:rsidRPr="007C4BDF">
              <w:rPr>
                <w:rFonts w:eastAsia="Times New Roman"/>
                <w:sz w:val="18"/>
                <w:szCs w:val="18"/>
              </w:rPr>
              <w:br/>
              <w:t>5) The average number of batch requests added will be documented as part of the discovery process in transition planning.</w:t>
            </w:r>
            <w:r w:rsidRPr="007C4BDF">
              <w:rPr>
                <w:rFonts w:eastAsia="Times New Roman"/>
                <w:sz w:val="18"/>
                <w:szCs w:val="18"/>
              </w:rPr>
              <w:br/>
            </w:r>
            <w:r w:rsidRPr="007C4BDF">
              <w:rPr>
                <w:rFonts w:eastAsia="Times New Roman"/>
                <w:sz w:val="18"/>
                <w:szCs w:val="18"/>
              </w:rPr>
              <w:br/>
              <w:t>L&amp;I:  1) 1609</w:t>
            </w:r>
            <w:r w:rsidRPr="007C4BDF">
              <w:rPr>
                <w:rFonts w:eastAsia="Times New Roman"/>
                <w:sz w:val="18"/>
                <w:szCs w:val="18"/>
              </w:rPr>
              <w:br/>
              <w:t>2) 5%</w:t>
            </w:r>
            <w:r w:rsidRPr="007C4BDF">
              <w:rPr>
                <w:rFonts w:eastAsia="Times New Roman"/>
                <w:sz w:val="18"/>
                <w:szCs w:val="18"/>
              </w:rPr>
              <w:br/>
              <w:t>3) 25</w:t>
            </w:r>
            <w:r w:rsidRPr="007C4BDF">
              <w:rPr>
                <w:rFonts w:eastAsia="Times New Roman"/>
                <w:sz w:val="18"/>
                <w:szCs w:val="18"/>
              </w:rPr>
              <w:br/>
              <w:t xml:space="preserve">4) 10  </w:t>
            </w:r>
            <w:r w:rsidRPr="007C4BDF">
              <w:rPr>
                <w:rFonts w:eastAsia="Times New Roman"/>
                <w:sz w:val="18"/>
                <w:szCs w:val="18"/>
              </w:rPr>
              <w:br/>
              <w:t>5) 5</w:t>
            </w:r>
          </w:p>
        </w:tc>
      </w:tr>
      <w:tr w:rsidR="007C4BDF" w:rsidRPr="007C4BDF" w:rsidTr="007C4BDF">
        <w:trPr>
          <w:trHeight w:val="55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144</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3.2.3.2</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Site Operations</w:t>
            </w:r>
            <w:r w:rsidRPr="007C4BDF">
              <w:rPr>
                <w:rFonts w:eastAsia="Times New Roman"/>
                <w:sz w:val="18"/>
                <w:szCs w:val="18"/>
              </w:rPr>
              <w:br/>
              <w:t>Page 88</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tape processing, would the Commonwealth please provide the volumes requested below:</w:t>
            </w:r>
            <w:r w:rsidRPr="007C4BDF">
              <w:rPr>
                <w:rFonts w:eastAsia="Times New Roman"/>
                <w:color w:val="000000"/>
                <w:sz w:val="18"/>
                <w:szCs w:val="18"/>
              </w:rPr>
              <w:br/>
            </w:r>
            <w:r w:rsidRPr="007C4BDF">
              <w:rPr>
                <w:rFonts w:eastAsia="Times New Roman"/>
                <w:color w:val="000000"/>
                <w:sz w:val="18"/>
                <w:szCs w:val="18"/>
              </w:rPr>
              <w:br/>
              <w:t>1) Number of manual mounts on the z/OS, z/VM, and z/VSE LPARs</w:t>
            </w:r>
            <w:r w:rsidRPr="007C4BDF">
              <w:rPr>
                <w:rFonts w:eastAsia="Times New Roman"/>
                <w:color w:val="000000"/>
                <w:sz w:val="18"/>
                <w:szCs w:val="18"/>
              </w:rPr>
              <w:br/>
              <w:t>2) The number of tapes that are rotated on/off site per month</w:t>
            </w:r>
            <w:r w:rsidRPr="007C4BDF">
              <w:rPr>
                <w:rFonts w:eastAsia="Times New Roman"/>
                <w:color w:val="000000"/>
                <w:sz w:val="18"/>
                <w:szCs w:val="18"/>
              </w:rPr>
              <w:br/>
              <w:t>3) Number of physical tape media in the entire z/OS, z/VSE, and z/VM library by media type (e.g. 3590, 3592)</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The following is the agency specific information regarding  tape processing: </w:t>
            </w:r>
            <w:r w:rsidRPr="007C4BDF">
              <w:rPr>
                <w:rFonts w:eastAsia="Times New Roman"/>
                <w:sz w:val="18"/>
                <w:szCs w:val="18"/>
              </w:rPr>
              <w:br/>
            </w:r>
            <w:r w:rsidRPr="007C4BDF">
              <w:rPr>
                <w:rFonts w:eastAsia="Times New Roman"/>
                <w:sz w:val="18"/>
                <w:szCs w:val="18"/>
              </w:rPr>
              <w:br/>
              <w:t>DPW:   The two LPARs use a small number of 3584 and 3592 tapes, around two each per month, with a small subset (less than 10%) of these being sent offsite for storage.</w:t>
            </w:r>
            <w:r w:rsidRPr="007C4BDF">
              <w:rPr>
                <w:rFonts w:eastAsia="Times New Roman"/>
                <w:sz w:val="18"/>
                <w:szCs w:val="18"/>
              </w:rPr>
              <w:br/>
            </w:r>
            <w:r w:rsidRPr="007C4BDF">
              <w:rPr>
                <w:rFonts w:eastAsia="Times New Roman"/>
                <w:sz w:val="18"/>
                <w:szCs w:val="18"/>
              </w:rPr>
              <w:br/>
              <w:t xml:space="preserve">DOR:   For DOR's datacenter, roughly 200-250 a month go in and out.  There are 1000 tapes in the system of which about 750-800 are in the library at any given time. </w:t>
            </w:r>
            <w:r w:rsidRPr="007C4BDF">
              <w:rPr>
                <w:rFonts w:eastAsia="Times New Roman"/>
                <w:sz w:val="18"/>
                <w:szCs w:val="18"/>
              </w:rPr>
              <w:br/>
            </w:r>
            <w:r w:rsidRPr="007C4BDF">
              <w:rPr>
                <w:rFonts w:eastAsia="Times New Roman"/>
                <w:sz w:val="18"/>
                <w:szCs w:val="18"/>
              </w:rPr>
              <w:br/>
              <w:t xml:space="preserve">L&amp;I:   1) The majority of mounts are virtual.  The estimated volume of physical mounts is less than 20 per month.  </w:t>
            </w:r>
            <w:r w:rsidRPr="007C4BDF">
              <w:rPr>
                <w:rFonts w:eastAsia="Times New Roman"/>
                <w:sz w:val="18"/>
                <w:szCs w:val="18"/>
              </w:rPr>
              <w:br/>
              <w:t>2) Under the outsourced agreement, our tapes and data are combined with outer shared agency resources.  Accurate data is not available for this.</w:t>
            </w:r>
            <w:r w:rsidRPr="007C4BDF">
              <w:rPr>
                <w:rFonts w:eastAsia="Times New Roman"/>
                <w:sz w:val="18"/>
                <w:szCs w:val="18"/>
              </w:rPr>
              <w:br/>
              <w:t>3) 7431 Total Physical tapes</w:t>
            </w:r>
            <w:r w:rsidRPr="007C4BDF">
              <w:rPr>
                <w:rFonts w:eastAsia="Times New Roman"/>
                <w:sz w:val="18"/>
                <w:szCs w:val="18"/>
              </w:rPr>
              <w:br/>
              <w:t xml:space="preserve">                100 – 3592 cartridges</w:t>
            </w:r>
            <w:r w:rsidRPr="007C4BDF">
              <w:rPr>
                <w:rFonts w:eastAsia="Times New Roman"/>
                <w:sz w:val="18"/>
                <w:szCs w:val="18"/>
              </w:rPr>
              <w:br/>
              <w:t xml:space="preserve">                7331 – 3490 cartridges</w:t>
            </w:r>
            <w:r w:rsidRPr="007C4BDF">
              <w:rPr>
                <w:rFonts w:eastAsia="Times New Roman"/>
                <w:sz w:val="18"/>
                <w:szCs w:val="18"/>
              </w:rPr>
              <w:br/>
            </w:r>
            <w:r w:rsidRPr="007C4BDF">
              <w:rPr>
                <w:rFonts w:eastAsia="Times New Roman"/>
                <w:sz w:val="18"/>
                <w:szCs w:val="18"/>
              </w:rPr>
              <w:br/>
              <w:t>Additional information regarding tape processing will be documented as part of the discovery process in transition planning.</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145</w:t>
            </w:r>
          </w:p>
        </w:tc>
        <w:tc>
          <w:tcPr>
            <w:tcW w:w="190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3.2.4.5</w:t>
            </w:r>
          </w:p>
        </w:tc>
        <w:tc>
          <w:tcPr>
            <w:tcW w:w="1692"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Mainframe Services</w:t>
            </w:r>
            <w:r w:rsidRPr="007C4BDF">
              <w:rPr>
                <w:rFonts w:eastAsia="Times New Roman"/>
                <w:sz w:val="18"/>
                <w:szCs w:val="18"/>
              </w:rPr>
              <w:br/>
              <w:t>Page 116</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Please confirm that there are no Database Administration functions in scope other than technical assistance to the Commonwealth’s DBA staff.</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Other than those provided for in the rate card in Schedule I there are no Database Administration functions required.  The selected Offeror will be required to provide technical assistance to the Commonwealth’s DBA staff.</w:t>
            </w:r>
            <w:r w:rsidRPr="007C4BDF">
              <w:rPr>
                <w:rFonts w:eastAsia="Times New Roman"/>
                <w:sz w:val="18"/>
                <w:szCs w:val="18"/>
              </w:rPr>
              <w:br/>
              <w:t xml:space="preserve">Offerors may include a Database Administration as a service in the Service </w:t>
            </w:r>
            <w:r w:rsidR="00971603" w:rsidRPr="007C4BDF">
              <w:rPr>
                <w:rFonts w:eastAsia="Times New Roman"/>
                <w:sz w:val="18"/>
                <w:szCs w:val="18"/>
              </w:rPr>
              <w:t>Catalog.</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I.1, IES - DPH COPA OwnedIT Assets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Rows 123 &amp; 124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details on what the application is for Filenet? Is this P8?</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FileNet software is no longer used by IES. The servers listed in Exhibit I.1 (PRDARCI1U, PRDARCW1U) have been decommissioned. </w:t>
            </w:r>
          </w:p>
        </w:tc>
      </w:tr>
      <w:tr w:rsidR="007C4BDF" w:rsidRPr="007C4BDF" w:rsidTr="007C4BDF">
        <w:trPr>
          <w:trHeight w:val="62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147</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I.1, IES - DPH COPA OwnedIT Assets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IES Tab</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There are several SAP servers included in the list without details of what SAP component they belong to. Would the Commonwealth please provide details onwhat the following servers are: dba01u, dc6dca0u, dc7dca0u, DE2CIA0U, DEVALM01, devdb01u, DEVDQM01, DEVLVC01, IESDC02, prddb01u, prddb02u, PRDDQM01, PRDI3U, PRDSROUTE01 (CTC), qasdb01u, qc6dca0u, qcpapp1u, qcpdca0u, QEPCIA0U, qppdca0u, QVPCIA0U, qwpdca0u, sc2dca0u, STGW6U (CTC)?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dba01u - Development SAP Portal database,</w:t>
            </w:r>
            <w:r w:rsidRPr="007C4BDF">
              <w:rPr>
                <w:rFonts w:eastAsia="Times New Roman"/>
                <w:sz w:val="18"/>
                <w:szCs w:val="18"/>
              </w:rPr>
              <w:br/>
              <w:t>dc6dca0u - Development SAP ECC DB/CI,</w:t>
            </w:r>
            <w:r w:rsidRPr="007C4BDF">
              <w:rPr>
                <w:rFonts w:eastAsia="Times New Roman"/>
                <w:sz w:val="18"/>
                <w:szCs w:val="18"/>
              </w:rPr>
              <w:br/>
              <w:t>dc7dca0u - Development SAP ECC DB/CI,</w:t>
            </w:r>
            <w:r w:rsidRPr="007C4BDF">
              <w:rPr>
                <w:rFonts w:eastAsia="Times New Roman"/>
                <w:sz w:val="18"/>
                <w:szCs w:val="18"/>
              </w:rPr>
              <w:br/>
              <w:t>DE2CIA0U - Development SAP Portal,</w:t>
            </w:r>
            <w:r w:rsidRPr="007C4BDF">
              <w:rPr>
                <w:rFonts w:eastAsia="Times New Roman"/>
                <w:sz w:val="18"/>
                <w:szCs w:val="18"/>
              </w:rPr>
              <w:br/>
              <w:t>DEVALM01 - Development HP Quality Center,</w:t>
            </w:r>
            <w:r w:rsidRPr="007C4BDF">
              <w:rPr>
                <w:rFonts w:eastAsia="Times New Roman"/>
                <w:sz w:val="18"/>
                <w:szCs w:val="18"/>
              </w:rPr>
              <w:br/>
              <w:t>devdb01u - Development SAP Portal database,</w:t>
            </w:r>
            <w:r w:rsidRPr="007C4BDF">
              <w:rPr>
                <w:rFonts w:eastAsia="Times New Roman"/>
                <w:sz w:val="18"/>
                <w:szCs w:val="18"/>
              </w:rPr>
              <w:br/>
              <w:t>DEVDQM01 - Development SAP BOBJ Data Quality Management,</w:t>
            </w:r>
            <w:r w:rsidRPr="007C4BDF">
              <w:rPr>
                <w:rFonts w:eastAsia="Times New Roman"/>
                <w:sz w:val="18"/>
                <w:szCs w:val="18"/>
              </w:rPr>
              <w:br/>
              <w:t>DEVLVC01 - Development HP LoadRunner,</w:t>
            </w:r>
            <w:r w:rsidRPr="007C4BDF">
              <w:rPr>
                <w:rFonts w:eastAsia="Times New Roman"/>
                <w:sz w:val="18"/>
                <w:szCs w:val="18"/>
              </w:rPr>
              <w:br/>
              <w:t>IESDC02 - IES Domain Controller,</w:t>
            </w:r>
            <w:r w:rsidRPr="007C4BDF">
              <w:rPr>
                <w:rFonts w:eastAsia="Times New Roman"/>
                <w:sz w:val="18"/>
                <w:szCs w:val="18"/>
              </w:rPr>
              <w:br/>
              <w:t>prddb01u - Production SAP Portal database,</w:t>
            </w:r>
            <w:r w:rsidRPr="007C4BDF">
              <w:rPr>
                <w:rFonts w:eastAsia="Times New Roman"/>
                <w:sz w:val="18"/>
                <w:szCs w:val="18"/>
              </w:rPr>
              <w:br/>
              <w:t>prddb02u - Production non-SAP Oracle databases,</w:t>
            </w:r>
            <w:r w:rsidRPr="007C4BDF">
              <w:rPr>
                <w:rFonts w:eastAsia="Times New Roman"/>
                <w:sz w:val="18"/>
                <w:szCs w:val="18"/>
              </w:rPr>
              <w:br/>
              <w:t>PRDDQM01 - Production SAP BOBJ Data Quality Management,</w:t>
            </w:r>
            <w:r w:rsidRPr="007C4BDF">
              <w:rPr>
                <w:rFonts w:eastAsia="Times New Roman"/>
                <w:sz w:val="18"/>
                <w:szCs w:val="18"/>
              </w:rPr>
              <w:br/>
              <w:t>PRDI3U - Production MQ Series and SAP Business Connector,</w:t>
            </w:r>
            <w:r w:rsidRPr="007C4BDF">
              <w:rPr>
                <w:rFonts w:eastAsia="Times New Roman"/>
                <w:sz w:val="18"/>
                <w:szCs w:val="18"/>
              </w:rPr>
              <w:br/>
              <w:t>PRDSROUTE01 - SAProuter used for connection to SAP for software support,</w:t>
            </w:r>
            <w:r w:rsidRPr="007C4BDF">
              <w:rPr>
                <w:rFonts w:eastAsia="Times New Roman"/>
                <w:sz w:val="18"/>
                <w:szCs w:val="18"/>
              </w:rPr>
              <w:br/>
              <w:t>qasdb01u - Quality Control SAP Portal databases,</w:t>
            </w:r>
            <w:r w:rsidRPr="007C4BDF">
              <w:rPr>
                <w:rFonts w:eastAsia="Times New Roman"/>
                <w:sz w:val="18"/>
                <w:szCs w:val="18"/>
              </w:rPr>
              <w:br/>
              <w:t>qc6dca0u - Quality Control SAP ECC DB/CI server,</w:t>
            </w:r>
            <w:r w:rsidRPr="007C4BDF">
              <w:rPr>
                <w:rFonts w:eastAsia="Times New Roman"/>
                <w:sz w:val="18"/>
                <w:szCs w:val="18"/>
              </w:rPr>
              <w:br/>
              <w:t>qcpapp1u - Quality Control SAP ECC application server,</w:t>
            </w:r>
            <w:r w:rsidRPr="007C4BDF">
              <w:rPr>
                <w:rFonts w:eastAsia="Times New Roman"/>
                <w:sz w:val="18"/>
                <w:szCs w:val="18"/>
              </w:rPr>
              <w:br/>
              <w:t>qcpdca0u - Quality Control 2 SAP ECC DB/CI server,</w:t>
            </w:r>
            <w:r w:rsidRPr="007C4BDF">
              <w:rPr>
                <w:rFonts w:eastAsia="Times New Roman"/>
                <w:sz w:val="18"/>
                <w:szCs w:val="18"/>
              </w:rPr>
              <w:br/>
              <w:t>QEPCIA0U - Quality Control SAP Portal,</w:t>
            </w:r>
            <w:r w:rsidRPr="007C4BDF">
              <w:rPr>
                <w:rFonts w:eastAsia="Times New Roman"/>
                <w:sz w:val="18"/>
                <w:szCs w:val="18"/>
              </w:rPr>
              <w:br/>
              <w:t>qppdca0u - Quality Control 2 SAP ECC DB/CI,</w:t>
            </w:r>
            <w:r w:rsidRPr="007C4BDF">
              <w:rPr>
                <w:rFonts w:eastAsia="Times New Roman"/>
                <w:sz w:val="18"/>
                <w:szCs w:val="18"/>
              </w:rPr>
              <w:br/>
              <w:t>QVPCIA0U - Quality Control SAP Portal,</w:t>
            </w:r>
            <w:r w:rsidRPr="007C4BDF">
              <w:rPr>
                <w:rFonts w:eastAsia="Times New Roman"/>
                <w:sz w:val="18"/>
                <w:szCs w:val="18"/>
              </w:rPr>
              <w:br/>
              <w:t>qwpdca0u - Quality Control SAP Business Warehouse DB/CI,</w:t>
            </w:r>
            <w:r w:rsidRPr="007C4BDF">
              <w:rPr>
                <w:rFonts w:eastAsia="Times New Roman"/>
                <w:sz w:val="18"/>
                <w:szCs w:val="18"/>
              </w:rPr>
              <w:br/>
              <w:t>sc2dca0u - Sandbox SAP ECC DB/CI,</w:t>
            </w:r>
            <w:r w:rsidRPr="007C4BDF">
              <w:rPr>
                <w:rFonts w:eastAsia="Times New Roman"/>
                <w:sz w:val="18"/>
                <w:szCs w:val="18"/>
              </w:rPr>
              <w:br/>
              <w:t>STGW6U (CTC) - SAP BOBJ staging server located in CTC DMZ</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I.1, IES - DPH COPA OwnedIT Assets</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IES Tab</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Are the servers defined as DPH servers, SAP servers? If so, please indicate what SAP Component these are.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servers designated as DPH systems do not host SAP software. They are used by the DPH for management and support of the AIX or VMWare environments. </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149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3.2.4.3.8</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User Account Management – page 108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the Commonwealth requesting that Offerors provide SAP security? If so, would the Commonwealth please provide the total number of SAP users for all production and non-production users who will have access to the systems?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Commonwealth will perform SAP software application security administration for all SAP systems. The selected Offeror is required to provide operating system level user administration for CoPA staff supporting the SAP applications. </w:t>
            </w:r>
            <w:r w:rsidRPr="007C4BDF">
              <w:rPr>
                <w:rFonts w:eastAsia="Times New Roman"/>
                <w:sz w:val="18"/>
                <w:szCs w:val="18"/>
              </w:rPr>
              <w:br/>
            </w:r>
            <w:r w:rsidRPr="007C4BDF">
              <w:rPr>
                <w:rFonts w:eastAsia="Times New Roman"/>
                <w:sz w:val="18"/>
                <w:szCs w:val="18"/>
              </w:rPr>
              <w:br/>
              <w:t>All Commonwealth users (Commonwealth employees, business partners, contractors, etc.) are potential SAP users.</w:t>
            </w:r>
          </w:p>
        </w:tc>
      </w:tr>
      <w:tr w:rsidR="007C4BDF" w:rsidRPr="007C4BDF" w:rsidTr="007C4BDF">
        <w:trPr>
          <w:trHeight w:val="6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150</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Exhibit B.1, DPH – Asset List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DOR Tav</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last 13 rows appear to be SAP servers.  Would the Commonwealth please confirm that these are indeed SAP servers: EP, BOBJ, BI/BW Java.  Also, please clarify what SAP components RMP, Production, Production Master Media Server, and Migration servers are.  Are these SAP ABAP, JAVA, NetWeaver systems? Or are they SAP 3rd Party systems?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following list provides details on the 13 servers, indicating if they are SAP or Non-SAP servers.</w:t>
            </w:r>
            <w:r w:rsidRPr="007C4BDF">
              <w:rPr>
                <w:rFonts w:eastAsia="Times New Roman"/>
                <w:sz w:val="18"/>
                <w:szCs w:val="18"/>
              </w:rPr>
              <w:br/>
            </w:r>
            <w:r w:rsidRPr="007C4BDF">
              <w:rPr>
                <w:rFonts w:eastAsia="Times New Roman"/>
                <w:sz w:val="18"/>
                <w:szCs w:val="18"/>
              </w:rPr>
              <w:br/>
              <w:t>RVDPHRPX- SAP NetWeaver 7.3 Java Ent. Portal</w:t>
            </w:r>
            <w:r w:rsidRPr="007C4BDF">
              <w:rPr>
                <w:rFonts w:eastAsia="Times New Roman"/>
                <w:sz w:val="18"/>
                <w:szCs w:val="18"/>
              </w:rPr>
              <w:br/>
            </w:r>
            <w:r w:rsidRPr="007C4BDF">
              <w:rPr>
                <w:rFonts w:eastAsia="Times New Roman"/>
                <w:sz w:val="18"/>
                <w:szCs w:val="18"/>
              </w:rPr>
              <w:br/>
              <w:t>RVDPHRPP- Not currently used;</w:t>
            </w:r>
            <w:r w:rsidRPr="007C4BDF">
              <w:rPr>
                <w:rFonts w:eastAsia="Times New Roman"/>
                <w:sz w:val="18"/>
                <w:szCs w:val="18"/>
              </w:rPr>
              <w:br/>
            </w:r>
            <w:r w:rsidRPr="007C4BDF">
              <w:rPr>
                <w:rFonts w:eastAsia="Times New Roman"/>
                <w:sz w:val="18"/>
                <w:szCs w:val="18"/>
              </w:rPr>
              <w:br/>
              <w:t>RVDPHROD- SAP NetWeaver 7.3 Java BOBJ CPS</w:t>
            </w:r>
            <w:r w:rsidRPr="007C4BDF">
              <w:rPr>
                <w:rFonts w:eastAsia="Times New Roman"/>
                <w:sz w:val="18"/>
                <w:szCs w:val="18"/>
              </w:rPr>
              <w:br/>
            </w:r>
            <w:r w:rsidRPr="007C4BDF">
              <w:rPr>
                <w:rFonts w:eastAsia="Times New Roman"/>
                <w:sz w:val="18"/>
                <w:szCs w:val="18"/>
              </w:rPr>
              <w:br/>
              <w:t>RVDPHROX - SAP Netweaver 7.3 Java BOBJ</w:t>
            </w:r>
            <w:r w:rsidRPr="007C4BDF">
              <w:rPr>
                <w:rFonts w:eastAsia="Times New Roman"/>
                <w:sz w:val="18"/>
                <w:szCs w:val="18"/>
              </w:rPr>
              <w:br/>
            </w:r>
            <w:r w:rsidRPr="007C4BDF">
              <w:rPr>
                <w:rFonts w:eastAsia="Times New Roman"/>
                <w:sz w:val="18"/>
                <w:szCs w:val="18"/>
              </w:rPr>
              <w:br/>
              <w:t>RVDPHROT - SAP Netweaver 7.3 Java BOBJ</w:t>
            </w:r>
            <w:r w:rsidRPr="007C4BDF">
              <w:rPr>
                <w:rFonts w:eastAsia="Times New Roman"/>
                <w:sz w:val="18"/>
                <w:szCs w:val="18"/>
              </w:rPr>
              <w:br/>
            </w:r>
            <w:r w:rsidRPr="007C4BDF">
              <w:rPr>
                <w:rFonts w:eastAsia="Times New Roman"/>
                <w:sz w:val="18"/>
                <w:szCs w:val="18"/>
              </w:rPr>
              <w:br/>
              <w:t>RVDPHROQ - SAP Netweaver 7.3 Java BOBJ CPS</w:t>
            </w:r>
            <w:r w:rsidRPr="007C4BDF">
              <w:rPr>
                <w:rFonts w:eastAsia="Times New Roman"/>
                <w:sz w:val="18"/>
                <w:szCs w:val="18"/>
              </w:rPr>
              <w:br/>
            </w:r>
            <w:r w:rsidRPr="007C4BDF">
              <w:rPr>
                <w:rFonts w:eastAsia="Times New Roman"/>
                <w:sz w:val="18"/>
                <w:szCs w:val="18"/>
              </w:rPr>
              <w:br/>
              <w:t>RVDPHRXJ -  Not currently used</w:t>
            </w:r>
            <w:r w:rsidRPr="007C4BDF">
              <w:rPr>
                <w:rFonts w:eastAsia="Times New Roman"/>
                <w:sz w:val="18"/>
                <w:szCs w:val="18"/>
              </w:rPr>
              <w:br/>
            </w:r>
            <w:r w:rsidRPr="007C4BDF">
              <w:rPr>
                <w:rFonts w:eastAsia="Times New Roman"/>
                <w:sz w:val="18"/>
                <w:szCs w:val="18"/>
              </w:rPr>
              <w:br/>
              <w:t>RVPDPHDC1 - Non-SAP  Server - SQL Server</w:t>
            </w:r>
            <w:r w:rsidRPr="007C4BDF">
              <w:rPr>
                <w:rFonts w:eastAsia="Times New Roman"/>
                <w:sz w:val="18"/>
                <w:szCs w:val="18"/>
              </w:rPr>
              <w:br/>
            </w:r>
            <w:r w:rsidRPr="007C4BDF">
              <w:rPr>
                <w:rFonts w:eastAsia="Times New Roman"/>
                <w:sz w:val="18"/>
                <w:szCs w:val="18"/>
              </w:rPr>
              <w:br/>
              <w:t>RVPDPHDC2 -  Non - SAP Server - Data Masking Engine</w:t>
            </w:r>
            <w:r w:rsidRPr="007C4BDF">
              <w:rPr>
                <w:rFonts w:eastAsia="Times New Roman"/>
                <w:sz w:val="18"/>
                <w:szCs w:val="18"/>
              </w:rPr>
              <w:br/>
            </w:r>
            <w:r w:rsidRPr="007C4BDF">
              <w:rPr>
                <w:rFonts w:eastAsia="Times New Roman"/>
                <w:sz w:val="18"/>
                <w:szCs w:val="18"/>
              </w:rPr>
              <w:br/>
              <w:t>RVDPHROP1 - SAP Netweaver 7.3 Java CPS</w:t>
            </w:r>
            <w:r w:rsidRPr="007C4BDF">
              <w:rPr>
                <w:rFonts w:eastAsia="Times New Roman"/>
                <w:sz w:val="18"/>
                <w:szCs w:val="18"/>
              </w:rPr>
              <w:br/>
            </w:r>
            <w:r w:rsidRPr="007C4BDF">
              <w:rPr>
                <w:rFonts w:eastAsia="Times New Roman"/>
                <w:sz w:val="18"/>
                <w:szCs w:val="18"/>
              </w:rPr>
              <w:br/>
              <w:t>RVDPHROP2 -  SAP Netweaver 7.3 Java CPS</w:t>
            </w:r>
            <w:r w:rsidRPr="007C4BDF">
              <w:rPr>
                <w:rFonts w:eastAsia="Times New Roman"/>
                <w:sz w:val="18"/>
                <w:szCs w:val="18"/>
              </w:rPr>
              <w:br/>
            </w:r>
            <w:r w:rsidRPr="007C4BDF">
              <w:rPr>
                <w:rFonts w:eastAsia="Times New Roman"/>
                <w:sz w:val="18"/>
                <w:szCs w:val="18"/>
              </w:rPr>
              <w:br/>
              <w:t>RVDPHMMBK1 - Non-SAP Server</w:t>
            </w:r>
            <w:r w:rsidRPr="007C4BDF">
              <w:rPr>
                <w:rFonts w:eastAsia="Times New Roman"/>
                <w:sz w:val="18"/>
                <w:szCs w:val="18"/>
              </w:rPr>
              <w:br/>
            </w:r>
            <w:r w:rsidRPr="007C4BDF">
              <w:rPr>
                <w:rFonts w:eastAsia="Times New Roman"/>
                <w:sz w:val="18"/>
                <w:szCs w:val="18"/>
              </w:rPr>
              <w:br/>
              <w:t>RVDPHDC3 -  Non-SAP Server - SQL Server</w:t>
            </w:r>
          </w:p>
        </w:tc>
      </w:tr>
      <w:tr w:rsidR="007C4BDF" w:rsidRPr="007C4BDF" w:rsidTr="007C4BDF">
        <w:trPr>
          <w:trHeight w:val="36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3.2.5.5 3</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describe the client workstation  OS distribution used in the COPA environment – Windows, MAC, etc.?</w:t>
            </w:r>
            <w:r w:rsidRPr="007C4BDF">
              <w:rPr>
                <w:rFonts w:eastAsia="Times New Roman"/>
                <w:color w:val="000000"/>
                <w:sz w:val="18"/>
                <w:szCs w:val="18"/>
              </w:rPr>
              <w:br/>
            </w:r>
            <w:r w:rsidRPr="007C4BDF">
              <w:rPr>
                <w:rFonts w:eastAsia="Times New Roman"/>
                <w:color w:val="000000"/>
                <w:sz w:val="18"/>
                <w:szCs w:val="18"/>
              </w:rPr>
              <w:br/>
              <w:t>Please describe the Outlook/email client versions used  (i.e., Outlook 2003, etc.), and is there a current program to maintain a minimum standard version?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currently has various desktop client workstation OS distributed in the COPA environment.  95% of Commonwealth desktop clients utilize Microsoft Windows operating systems (e.g. Windows 7, XP), none of which are older than XP.  In addition, the Commonwealth has a limited number of Macintosh and Linux operating systems for desktop clients.   Linux desktop clients are mainly used to connect to Virtual desktop Infrastructure (VDI) which uses Windows OS environment.  As the Commonwealth use of VDI increases, additional operating systems may be used to connect to VDI.</w:t>
            </w:r>
            <w:r w:rsidRPr="007C4BDF">
              <w:rPr>
                <w:rFonts w:eastAsia="Times New Roman"/>
                <w:sz w:val="18"/>
                <w:szCs w:val="18"/>
              </w:rPr>
              <w:br/>
            </w:r>
            <w:r w:rsidRPr="007C4BDF">
              <w:rPr>
                <w:rFonts w:eastAsia="Times New Roman"/>
                <w:sz w:val="18"/>
                <w:szCs w:val="18"/>
              </w:rPr>
              <w:br/>
              <w:t xml:space="preserve"> The Commonwealth currently has various Outlook/email client versions distributed in the COPA environment.  The Windows based desktop clients use Outlook 2003, 2007, 2010 and a few have Office XP version.  The Macintosh OS desktop clients use Mail. </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152</w:t>
            </w:r>
          </w:p>
        </w:tc>
        <w:tc>
          <w:tcPr>
            <w:tcW w:w="190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3.2.5.5 10</w:t>
            </w:r>
          </w:p>
        </w:tc>
        <w:tc>
          <w:tcPr>
            <w:tcW w:w="1692"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describe the supported mobile device types/OS and breakdown the approximate number of devices by type (Blackberry, Android, iOS, etc.)?</w:t>
            </w:r>
            <w:r w:rsidRPr="007C4BDF">
              <w:rPr>
                <w:rFonts w:eastAsia="Times New Roman"/>
                <w:color w:val="000000"/>
                <w:sz w:val="18"/>
                <w:szCs w:val="18"/>
              </w:rPr>
              <w:br/>
            </w:r>
            <w:r w:rsidRPr="007C4BDF">
              <w:rPr>
                <w:rFonts w:eastAsia="Times New Roman"/>
                <w:color w:val="000000"/>
                <w:sz w:val="18"/>
                <w:szCs w:val="18"/>
              </w:rPr>
              <w:br/>
              <w:t>Is there a projected growth rate on mobile devices in the environment?</w:t>
            </w:r>
            <w:r w:rsidRPr="007C4BDF">
              <w:rPr>
                <w:rFonts w:eastAsia="Times New Roman"/>
                <w:color w:val="000000"/>
                <w:sz w:val="18"/>
                <w:szCs w:val="18"/>
              </w:rPr>
              <w:br/>
            </w:r>
            <w:r w:rsidRPr="007C4BDF">
              <w:rPr>
                <w:rFonts w:eastAsia="Times New Roman"/>
                <w:color w:val="000000"/>
                <w:sz w:val="18"/>
                <w:szCs w:val="18"/>
              </w:rPr>
              <w:br/>
              <w:t>Is there a current MDM application in use for the mobile devices?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cannot provide an approximate number of mobile devices by OS.     The service must be able to support iPhone/iPad and Android devices, and Blackberry Enterprise Server.</w:t>
            </w:r>
            <w:r w:rsidRPr="007C4BDF">
              <w:rPr>
                <w:rFonts w:eastAsia="Times New Roman"/>
                <w:sz w:val="18"/>
                <w:szCs w:val="18"/>
              </w:rPr>
              <w:br/>
            </w:r>
            <w:r w:rsidRPr="007C4BDF">
              <w:rPr>
                <w:rFonts w:eastAsia="Times New Roman"/>
                <w:sz w:val="18"/>
                <w:szCs w:val="18"/>
              </w:rPr>
              <w:br/>
              <w:t>The Commonwealth cannot provide a projected growth rate on mobile devices in the environment.</w:t>
            </w:r>
            <w:r w:rsidRPr="007C4BDF">
              <w:rPr>
                <w:rFonts w:eastAsia="Times New Roman"/>
                <w:sz w:val="18"/>
                <w:szCs w:val="18"/>
              </w:rPr>
              <w:br/>
            </w:r>
            <w:r w:rsidRPr="007C4BDF">
              <w:rPr>
                <w:rFonts w:eastAsia="Times New Roman"/>
                <w:sz w:val="18"/>
                <w:szCs w:val="18"/>
              </w:rPr>
              <w:br/>
              <w:t>The Commonwealth is implementing Airwatch but does not have a timeframe on when it will be fully rolled out.</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3.2.5.5 15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For encryption, is the ability to encrypt email internally desired or only needed for email sent externally?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Yes, the Commonwealth requires the ability to encrypt email internally as well as externally.</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A, Commonwealth Network Environment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Target Data Center</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P2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concurrent PSP users should the Offeror assume will connect to the Consolidated Data Center and how many will connect via IPSec vs. SSL VPN, vs. Copanet WAN?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All PSP users connect through COPANET using the same route to the Consolidated Data Center whether they are using IPSEC or SSL VPN.</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A, Commonwealth Network Environment</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Target Data Center</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P2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many concurrent NON PSP users should the Offeror assume will connect to the Consolidated Data Center and how many will connect via IPSec vs. SSL VPN, vs. Copanet WAN?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Commonwealth cannot provide the number of concurrent users.  The Commonwealth has provided a bandwidth report as part of Exhibit P – Enterprise Internet Bandwidth Utilization.  </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156</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3.2.1.1.4</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32</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What business partners or third parties will not provide WAN routers and premises equipment to connect the circuits which they are providing, to the cnetwrks in the target data center ?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Currently all Business Partners must provide Ethernet connectivity. The type of premise equipment depends on the connectivity needed and is negotiated with each Business Partner.</w:t>
            </w:r>
          </w:p>
        </w:tc>
      </w:tr>
      <w:tr w:rsidR="007C4BDF" w:rsidRPr="007C4BDF" w:rsidTr="007C4BDF">
        <w:trPr>
          <w:trHeight w:val="52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157</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000000" w:fill="FFFFFF"/>
            <w:noWrap/>
            <w:hideMark/>
          </w:tcPr>
          <w:p w:rsidR="007C4BDF" w:rsidRPr="007C4BDF" w:rsidRDefault="007C4BDF" w:rsidP="007C4BDF">
            <w:pPr>
              <w:rPr>
                <w:rFonts w:eastAsia="Times New Roman"/>
                <w:sz w:val="18"/>
                <w:szCs w:val="18"/>
              </w:rPr>
            </w:pPr>
            <w:r w:rsidRPr="007C4BDF">
              <w:rPr>
                <w:rFonts w:eastAsia="Times New Roman"/>
                <w:sz w:val="18"/>
                <w:szCs w:val="18"/>
              </w:rPr>
              <w:t>3.2.4.7</w:t>
            </w:r>
          </w:p>
        </w:tc>
        <w:tc>
          <w:tcPr>
            <w:tcW w:w="1692"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Database Management Services</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Regarding open systems, would the Commonwealth please provide the database vendor platforms required by the Commonwealth for database management services (i.e., Oracle, MS SQL, DB2, etc.)?</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Currently the database vendor platforms vary by agency and applications. </w:t>
            </w:r>
            <w:r w:rsidRPr="007C4BDF">
              <w:rPr>
                <w:rFonts w:eastAsia="Times New Roman"/>
                <w:sz w:val="18"/>
                <w:szCs w:val="18"/>
              </w:rPr>
              <w:br/>
            </w:r>
            <w:r w:rsidRPr="007C4BDF">
              <w:rPr>
                <w:rFonts w:eastAsia="Times New Roman"/>
                <w:sz w:val="18"/>
                <w:szCs w:val="18"/>
              </w:rPr>
              <w:br/>
              <w:t>DPW has a Database group that manages its Oracle, SQL Server, and Unisys mainframe DMS and RDMS databases.</w:t>
            </w:r>
            <w:r w:rsidRPr="007C4BDF">
              <w:rPr>
                <w:rFonts w:eastAsia="Times New Roman"/>
                <w:sz w:val="18"/>
                <w:szCs w:val="18"/>
              </w:rPr>
              <w:br/>
            </w:r>
            <w:r w:rsidRPr="007C4BDF">
              <w:rPr>
                <w:rFonts w:eastAsia="Times New Roman"/>
                <w:sz w:val="18"/>
                <w:szCs w:val="18"/>
              </w:rPr>
              <w:br/>
              <w:t>DOR:  Oracle, MS SQL, DB2, Sybase, IMS</w:t>
            </w:r>
            <w:r w:rsidRPr="007C4BDF">
              <w:rPr>
                <w:rFonts w:eastAsia="Times New Roman"/>
                <w:sz w:val="18"/>
                <w:szCs w:val="18"/>
              </w:rPr>
              <w:br/>
            </w:r>
            <w:r w:rsidRPr="007C4BDF">
              <w:rPr>
                <w:rFonts w:eastAsia="Times New Roman"/>
                <w:sz w:val="18"/>
                <w:szCs w:val="18"/>
              </w:rPr>
              <w:br/>
              <w:t>Health: Oracle, MS SQL, Sybase</w:t>
            </w:r>
            <w:r w:rsidRPr="007C4BDF">
              <w:rPr>
                <w:rFonts w:eastAsia="Times New Roman"/>
                <w:sz w:val="18"/>
                <w:szCs w:val="18"/>
              </w:rPr>
              <w:br/>
            </w:r>
            <w:r w:rsidRPr="007C4BDF">
              <w:rPr>
                <w:rFonts w:eastAsia="Times New Roman"/>
                <w:sz w:val="18"/>
                <w:szCs w:val="18"/>
              </w:rPr>
              <w:br/>
              <w:t xml:space="preserve">PennDOT:  RDMS instances: z/OS: IMS is used in Sandbox (PDTT), Pre-Prod (PDT1) and Prod (PDT0) 1 instance pre environment, DB2 is used in Sandbox (PDTT) 1 instance, Pre-Prod (PDT1) 5 instances and Prod (PDT0) 2 instances. z/VM: Oracle is used in Pre-Prod (DOTLNX01) 7 instances and Prod (DOTLNX02) 2 instances. </w:t>
            </w:r>
            <w:r w:rsidRPr="007C4BDF">
              <w:rPr>
                <w:rFonts w:eastAsia="Times New Roman"/>
                <w:sz w:val="18"/>
                <w:szCs w:val="18"/>
              </w:rPr>
              <w:br/>
            </w:r>
            <w:r w:rsidRPr="007C4BDF">
              <w:rPr>
                <w:rFonts w:eastAsia="Times New Roman"/>
                <w:sz w:val="18"/>
                <w:szCs w:val="18"/>
              </w:rPr>
              <w:br/>
              <w:t>L&amp;I:   Oracle Database, Microsoft SQL Server, DB2 z/OS, IMS, DB2 UDB, Sybase ASE</w:t>
            </w:r>
            <w:r w:rsidRPr="007C4BDF">
              <w:rPr>
                <w:rFonts w:eastAsia="Times New Roman"/>
                <w:sz w:val="18"/>
                <w:szCs w:val="18"/>
              </w:rPr>
              <w:br/>
            </w:r>
            <w:r w:rsidRPr="007C4BDF">
              <w:rPr>
                <w:rFonts w:eastAsia="Times New Roman"/>
                <w:sz w:val="18"/>
                <w:szCs w:val="18"/>
              </w:rPr>
              <w:br/>
              <w:t>Additional information regarding database vendor platforms will be documented as part of the discovery process in transition planning.</w:t>
            </w:r>
          </w:p>
        </w:tc>
      </w:tr>
      <w:tr w:rsidR="007C4BDF" w:rsidRPr="007C4BDF" w:rsidTr="007C4BDF">
        <w:trPr>
          <w:trHeight w:val="16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158</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E.1 – DLI, Datacenter Inventory Template</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Applications Tab</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rows 62 - 78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Commonwealth own the iSeries (AS400) hardware and LPP program software products?</w:t>
            </w:r>
            <w:r w:rsidRPr="007C4BDF">
              <w:rPr>
                <w:rFonts w:eastAsia="Times New Roman"/>
                <w:color w:val="000000"/>
                <w:sz w:val="18"/>
                <w:szCs w:val="18"/>
              </w:rPr>
              <w:br/>
              <w:t xml:space="preserve"> </w:t>
            </w:r>
            <w:r w:rsidRPr="007C4BDF">
              <w:rPr>
                <w:rFonts w:eastAsia="Times New Roman"/>
                <w:color w:val="000000"/>
                <w:sz w:val="18"/>
                <w:szCs w:val="18"/>
              </w:rPr>
              <w:br/>
              <w:t>Is the Commonwealth the original purchaser of the iSeries license and LPP program software products and available for transfer to a providers hardware asset?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iSeries hardware is owned by Unisys.  </w:t>
            </w:r>
            <w:r w:rsidRPr="007C4BDF">
              <w:rPr>
                <w:rFonts w:eastAsia="Times New Roman"/>
                <w:sz w:val="18"/>
                <w:szCs w:val="18"/>
              </w:rPr>
              <w:br/>
            </w:r>
            <w:r w:rsidRPr="007C4BDF">
              <w:rPr>
                <w:rFonts w:eastAsia="Times New Roman"/>
                <w:sz w:val="18"/>
                <w:szCs w:val="18"/>
              </w:rPr>
              <w:br/>
              <w:t>The LPP program is a Labor and Industry in-house  written system.</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159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Exhibit E.1 – DLI, Datacenter Inventory Template</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Applications Tab</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rows 62 - 78</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What is the long term strategic direction for the iSeries platform?</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plans to move off of the iSeries platform within the next two years.</w:t>
            </w:r>
          </w:p>
        </w:tc>
      </w:tr>
      <w:tr w:rsidR="007C4BDF" w:rsidRPr="007C4BDF" w:rsidTr="007C4BDF">
        <w:trPr>
          <w:trHeight w:val="48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160</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Oracle ERP in scope? It is not listed in the software inventory.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PLCB's Oracle ERP solution is not in scope except for the infrastructure hosting that supports the Oracle ERP solution.</w:t>
            </w:r>
          </w:p>
        </w:tc>
      </w:tr>
      <w:tr w:rsidR="007C4BDF" w:rsidRPr="007C4BDF" w:rsidTr="007C4BDF">
        <w:trPr>
          <w:trHeight w:val="9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161</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Does each agency/organization under the Commonwealth have its own security policy or program?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The Commonwealth has defined IT policies (ITBs) and directives that must be followed by the enterprise. In addition, some agencies have more detailed and specific policies depending upon the agency’s business requirements.</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is DLP implemented today within the Commonwealth?  Are there separate instances with different tools?  Is it implemented per agency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Currently the Commonwealth uses Cisco Ironport for egress email DLP at the enterprise level.</w:t>
            </w:r>
          </w:p>
        </w:tc>
      </w:tr>
      <w:tr w:rsidR="007C4BDF" w:rsidRPr="007C4BDF" w:rsidTr="007C4BDF">
        <w:trPr>
          <w:trHeight w:val="648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163</w:t>
            </w:r>
          </w:p>
        </w:tc>
        <w:tc>
          <w:tcPr>
            <w:tcW w:w="190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000000" w:fill="FFFFFF"/>
            <w:noWrap/>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000000" w:fill="FFFFFF"/>
            <w:noWrap/>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a) Have any data discovery or data reduction initiatives taken place? </w:t>
            </w:r>
            <w:r w:rsidRPr="007C4BDF">
              <w:rPr>
                <w:rFonts w:eastAsia="Times New Roman"/>
                <w:color w:val="000000"/>
                <w:sz w:val="18"/>
                <w:szCs w:val="18"/>
              </w:rPr>
              <w:br/>
            </w:r>
            <w:r w:rsidRPr="007C4BDF">
              <w:rPr>
                <w:rFonts w:eastAsia="Times New Roman"/>
                <w:color w:val="000000"/>
                <w:sz w:val="18"/>
                <w:szCs w:val="18"/>
              </w:rPr>
              <w:br/>
              <w:t>B)Are there any standards around data storage, retention, encryption, etc.?</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a) On a case by case basis by application, data discovery or reduction activities have taken place.  No enterprise data discovery or data reduction initiatives have taken place.   </w:t>
            </w:r>
            <w:r w:rsidRPr="007C4BDF">
              <w:rPr>
                <w:rFonts w:eastAsia="Times New Roman"/>
                <w:sz w:val="18"/>
                <w:szCs w:val="18"/>
              </w:rPr>
              <w:br/>
            </w:r>
            <w:r w:rsidRPr="007C4BDF">
              <w:rPr>
                <w:rFonts w:eastAsia="Times New Roman"/>
                <w:sz w:val="18"/>
                <w:szCs w:val="18"/>
              </w:rPr>
              <w:br/>
              <w:t>b) Data retention, data storage, or encryption policies will be determined by IT policy, law, and the requirements of the RFP</w:t>
            </w:r>
            <w:r w:rsidRPr="007C4BDF">
              <w:rPr>
                <w:rFonts w:eastAsia="Times New Roman"/>
                <w:sz w:val="18"/>
                <w:szCs w:val="18"/>
              </w:rPr>
              <w:br/>
            </w:r>
            <w:r w:rsidRPr="007C4BDF">
              <w:rPr>
                <w:rFonts w:eastAsia="Times New Roman"/>
                <w:sz w:val="18"/>
                <w:szCs w:val="18"/>
              </w:rPr>
              <w:br/>
              <w:t xml:space="preserve">The Commonwealth’s data retention polices. Are set out in Management Directive 210.5 (Commonwealth of PA State Record Management Programs) and several Information Technology Bulletins on this subject.  </w:t>
            </w:r>
            <w:r w:rsidRPr="007C4BDF">
              <w:rPr>
                <w:rFonts w:eastAsia="Times New Roman"/>
                <w:sz w:val="18"/>
                <w:szCs w:val="18"/>
              </w:rPr>
              <w:br/>
            </w:r>
            <w:r w:rsidRPr="007C4BDF">
              <w:rPr>
                <w:rFonts w:eastAsia="Times New Roman"/>
                <w:sz w:val="18"/>
                <w:szCs w:val="18"/>
              </w:rPr>
              <w:br/>
              <w:t xml:space="preserve">Management Directives and ITBs can be found at </w:t>
            </w:r>
            <w:hyperlink r:id="rId13" w:history="1">
              <w:r w:rsidRPr="00971603">
                <w:rPr>
                  <w:rStyle w:val="Hyperlink"/>
                  <w:rFonts w:eastAsia="Times New Roman"/>
                  <w:sz w:val="18"/>
                  <w:szCs w:val="18"/>
                </w:rPr>
                <w:t>http://www.portal.state.pa.us/portal/server.pt/</w:t>
              </w:r>
              <w:r w:rsidRPr="00971603">
                <w:rPr>
                  <w:rStyle w:val="Hyperlink"/>
                  <w:rFonts w:eastAsia="Times New Roman"/>
                  <w:sz w:val="18"/>
                  <w:szCs w:val="18"/>
                </w:rPr>
                <w:br/>
                <w:t>community/policies/10301/management_directives/551950</w:t>
              </w:r>
            </w:hyperlink>
            <w:r w:rsidRPr="007C4BDF">
              <w:rPr>
                <w:rFonts w:eastAsia="Times New Roman"/>
                <w:color w:val="FF0000"/>
                <w:sz w:val="18"/>
                <w:szCs w:val="18"/>
              </w:rPr>
              <w:t xml:space="preserve"> </w:t>
            </w:r>
            <w:r w:rsidRPr="00971603">
              <w:rPr>
                <w:rFonts w:eastAsia="Times New Roman"/>
                <w:color w:val="000000" w:themeColor="text1"/>
                <w:sz w:val="18"/>
                <w:szCs w:val="18"/>
              </w:rPr>
              <w:t>and</w:t>
            </w:r>
            <w:r w:rsidRPr="007C4BDF">
              <w:rPr>
                <w:rFonts w:eastAsia="Times New Roman"/>
                <w:color w:val="FF0000"/>
                <w:sz w:val="18"/>
                <w:szCs w:val="18"/>
              </w:rPr>
              <w:t xml:space="preserve"> </w:t>
            </w:r>
            <w:hyperlink r:id="rId14" w:history="1">
              <w:r w:rsidRPr="00971603">
                <w:rPr>
                  <w:rStyle w:val="Hyperlink"/>
                  <w:rFonts w:eastAsia="Times New Roman"/>
                  <w:sz w:val="18"/>
                  <w:szCs w:val="18"/>
                </w:rPr>
                <w:t>http://www.portal.state.pa.us/portal/server.pt?open=514&amp;objID=210791&amp;mode=2</w:t>
              </w:r>
            </w:hyperlink>
            <w:r w:rsidRPr="007C4BDF">
              <w:rPr>
                <w:rFonts w:eastAsia="Times New Roman"/>
                <w:sz w:val="18"/>
                <w:szCs w:val="18"/>
              </w:rPr>
              <w:t xml:space="preserve"> </w:t>
            </w:r>
            <w:r w:rsidRPr="007C4BDF">
              <w:rPr>
                <w:rFonts w:eastAsia="Times New Roman"/>
                <w:sz w:val="18"/>
                <w:szCs w:val="18"/>
              </w:rPr>
              <w:br/>
            </w:r>
            <w:r w:rsidRPr="007C4BDF">
              <w:rPr>
                <w:rFonts w:eastAsia="Times New Roman"/>
                <w:sz w:val="18"/>
                <w:szCs w:val="18"/>
              </w:rPr>
              <w:br/>
              <w:t xml:space="preserve">ITBs SEC020 (Data at Rest) and SEC031 (Data in Motion) define the Commonwealth's policies on data at rest and data in motion.  </w:t>
            </w:r>
            <w:r w:rsidRPr="007C4BDF">
              <w:rPr>
                <w:rFonts w:eastAsia="Times New Roman"/>
                <w:sz w:val="18"/>
                <w:szCs w:val="18"/>
              </w:rPr>
              <w:br/>
            </w:r>
            <w:r w:rsidRPr="007C4BDF">
              <w:rPr>
                <w:rFonts w:eastAsia="Times New Roman"/>
                <w:sz w:val="18"/>
                <w:szCs w:val="18"/>
              </w:rPr>
              <w:br/>
              <w:t>Individual agencies may have additional data retention, data storage, or encryption policies, such as the FBI’s CJIS Security Policy, IRS Pub 1075, FIPS 140-2, etc.</w:t>
            </w:r>
            <w:r w:rsidRPr="007C4BDF">
              <w:rPr>
                <w:rFonts w:eastAsia="Times New Roman"/>
                <w:sz w:val="18"/>
                <w:szCs w:val="18"/>
              </w:rPr>
              <w:br/>
            </w:r>
            <w:r w:rsidRPr="007C4BDF">
              <w:rPr>
                <w:rFonts w:eastAsia="Times New Roman"/>
                <w:sz w:val="18"/>
                <w:szCs w:val="18"/>
              </w:rPr>
              <w:br/>
              <w:t>The selected Offeror must identify any additional applicable requirements during transition for individual services and comply with those requirements.</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How is RSA Archer used today?  What information is provided to Archer?  What components of Archer are implemented today?</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RSA Archer is used to provide audit and compliance assistance within EDC. The following modules are used - Enterprise, Risk, Policy, Threat. At this time there are no data feeds connected to Archer.</w:t>
            </w:r>
          </w:p>
        </w:tc>
      </w:tr>
      <w:tr w:rsidR="007C4BDF" w:rsidRPr="007C4BDF" w:rsidTr="007C4BDF">
        <w:trPr>
          <w:trHeight w:val="7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165</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N/A</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Is it permissible for Offerors to submit documents not available in Microsoft Office format in Adobe PDF format only (e.g., audited financial statements, insurance documentation, etc.)?</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Yes.</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166</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Schedule I, Offeror Pricing Forms</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1.Volumetrics</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Row no 190, Col E</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confirm if the total storage listed in baseline quantity includes the Production and Disaster Recovery (DR)? If so, would the Commonwealth provide a breakup of production volumes and DR volumes?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baseline quantity includes production only.  The configuration definitions tab identifies which configurations include DR.  Each configuration has associated volumetrics.</w:t>
            </w:r>
            <w:r w:rsidRPr="007C4BDF">
              <w:rPr>
                <w:rFonts w:eastAsia="Times New Roman"/>
                <w:color w:val="000000"/>
                <w:sz w:val="18"/>
                <w:szCs w:val="18"/>
              </w:rPr>
              <w:br/>
            </w:r>
            <w:r w:rsidRPr="007C4BDF">
              <w:rPr>
                <w:rFonts w:eastAsia="Times New Roman"/>
                <w:color w:val="000000"/>
                <w:sz w:val="18"/>
                <w:szCs w:val="18"/>
              </w:rPr>
              <w:br/>
              <w:t xml:space="preserve">The Commonwealth has established multiple scenarios of infrastructure configurations specifically for pricing evaluation, as set forth in Schedule I.  Actual volumes may vary.  </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167</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Schedule I, Offeror Pricing Forms</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1.Volumetrics</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Row no 192, Col E</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Does the baseline quantity for “server tape stored” include Production and Disaster Recovery (DR)? If so, please provide a breakup of production and DR volumes.</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baseline quantity includes production only.  The configuration definitions tab identifies which configurations include DR.  Each configuration has associated volumetrics.</w:t>
            </w:r>
            <w:r w:rsidRPr="007C4BDF">
              <w:rPr>
                <w:rFonts w:eastAsia="Times New Roman"/>
                <w:color w:val="000000"/>
                <w:sz w:val="18"/>
                <w:szCs w:val="18"/>
              </w:rPr>
              <w:br/>
            </w:r>
            <w:r w:rsidRPr="007C4BDF">
              <w:rPr>
                <w:rFonts w:eastAsia="Times New Roman"/>
                <w:color w:val="000000"/>
                <w:sz w:val="18"/>
                <w:szCs w:val="18"/>
              </w:rPr>
              <w:br/>
              <w:t xml:space="preserve">The Commonwealth has established multiple scenarios  of infrastructure configurations specifically for pricing evaluation, as set forth in Schedule I.  Actual volumes may vary.  </w:t>
            </w:r>
          </w:p>
        </w:tc>
      </w:tr>
      <w:tr w:rsidR="007C4BDF" w:rsidRPr="007C4BDF" w:rsidTr="007C4BDF">
        <w:trPr>
          <w:trHeight w:val="192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168</w:t>
            </w:r>
          </w:p>
        </w:tc>
        <w:tc>
          <w:tcPr>
            <w:tcW w:w="1900" w:type="dxa"/>
            <w:tcBorders>
              <w:top w:val="nil"/>
              <w:left w:val="nil"/>
              <w:bottom w:val="single" w:sz="4" w:space="0" w:color="auto"/>
              <w:right w:val="single" w:sz="4" w:space="0" w:color="auto"/>
            </w:tcBorders>
            <w:shd w:val="clear" w:color="000000" w:fill="FFFFFF"/>
            <w:vAlign w:val="bottom"/>
            <w:hideMark/>
          </w:tcPr>
          <w:p w:rsidR="007C4BDF" w:rsidRPr="007C4BDF" w:rsidRDefault="007C4BDF" w:rsidP="007C4BDF">
            <w:pPr>
              <w:rPr>
                <w:rFonts w:eastAsia="Times New Roman"/>
                <w:sz w:val="18"/>
                <w:szCs w:val="18"/>
              </w:rPr>
            </w:pPr>
            <w:r w:rsidRPr="007C4BDF">
              <w:rPr>
                <w:rFonts w:eastAsia="Times New Roman"/>
                <w:sz w:val="18"/>
                <w:szCs w:val="18"/>
              </w:rPr>
              <w:t>Schedule F, COPA Data Center Statement of Work</w:t>
            </w:r>
          </w:p>
        </w:tc>
        <w:tc>
          <w:tcPr>
            <w:tcW w:w="1390" w:type="dxa"/>
            <w:tcBorders>
              <w:top w:val="nil"/>
              <w:left w:val="nil"/>
              <w:bottom w:val="single" w:sz="4" w:space="0" w:color="auto"/>
              <w:right w:val="single" w:sz="4" w:space="0" w:color="auto"/>
            </w:tcBorders>
            <w:shd w:val="clear" w:color="000000" w:fill="FFFFFF"/>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000000" w:fill="FFFFFF"/>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101</w:t>
            </w:r>
          </w:p>
        </w:tc>
        <w:tc>
          <w:tcPr>
            <w:tcW w:w="4480"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Would the Commonwealth please provide the current Recovery Point Objectives    (RPO) and Recovery Time Objectives (RTO) categorized by server tier/application?</w:t>
            </w:r>
          </w:p>
        </w:tc>
        <w:tc>
          <w:tcPr>
            <w:tcW w:w="5981" w:type="dxa"/>
            <w:tcBorders>
              <w:top w:val="nil"/>
              <w:left w:val="nil"/>
              <w:bottom w:val="single" w:sz="4" w:space="0" w:color="auto"/>
              <w:right w:val="single" w:sz="4" w:space="0" w:color="auto"/>
            </w:tcBorders>
            <w:shd w:val="clear" w:color="000000" w:fill="FFFFFF"/>
            <w:hideMark/>
          </w:tcPr>
          <w:p w:rsidR="007C4BDF" w:rsidRPr="007C4BDF" w:rsidRDefault="007C4BDF" w:rsidP="007C4BDF">
            <w:pPr>
              <w:rPr>
                <w:rFonts w:eastAsia="Times New Roman"/>
                <w:sz w:val="18"/>
                <w:szCs w:val="18"/>
              </w:rPr>
            </w:pPr>
            <w:r w:rsidRPr="007C4BDF">
              <w:rPr>
                <w:rFonts w:eastAsia="Times New Roman"/>
                <w:sz w:val="18"/>
                <w:szCs w:val="18"/>
              </w:rPr>
              <w:t xml:space="preserve">See B.9 – DPH – Recovery Time Objectives for a list of RTOs for applications in the DPH.  The Commonwealth cannot provide RPO documentation; this information will be documented as part of the discovery process in transition planning.  </w:t>
            </w:r>
            <w:r w:rsidRPr="007C4BDF">
              <w:rPr>
                <w:rFonts w:eastAsia="Times New Roman"/>
                <w:sz w:val="18"/>
                <w:szCs w:val="18"/>
              </w:rPr>
              <w:br/>
            </w:r>
            <w:r w:rsidRPr="007C4BDF">
              <w:rPr>
                <w:rFonts w:eastAsia="Times New Roman"/>
                <w:sz w:val="18"/>
                <w:szCs w:val="18"/>
              </w:rPr>
              <w:br/>
              <w:t>This is a confidential document.  To receive a copy, please contact Sheryl Kimport, the Issuing Officer.</w:t>
            </w:r>
          </w:p>
        </w:tc>
      </w:tr>
      <w:tr w:rsidR="007C4BDF" w:rsidRPr="007C4BDF" w:rsidTr="007C4BDF">
        <w:trPr>
          <w:trHeight w:val="264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169</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Addendum 7</w:t>
            </w:r>
            <w:r w:rsidRPr="007C4BDF">
              <w:rPr>
                <w:rFonts w:eastAsia="Times New Roman"/>
                <w:sz w:val="18"/>
                <w:szCs w:val="18"/>
              </w:rPr>
              <w:br/>
              <w:t>Questions and Answers Round 1 Part 3</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Question #45</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7</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Commonwealth’s response to question #45, stated: “The 60% requirement stated in Part III-4 applies to all prime contractors.  No SDB points will be awarded to an Offeror unless the company serving as the prime contractor directly performs at least 60% of the total contract value.”</w:t>
            </w:r>
            <w:r w:rsidRPr="007C4BDF">
              <w:rPr>
                <w:rFonts w:eastAsia="Times New Roman"/>
                <w:color w:val="000000"/>
                <w:sz w:val="18"/>
                <w:szCs w:val="18"/>
              </w:rPr>
              <w:br/>
            </w:r>
            <w:r w:rsidRPr="007C4BDF">
              <w:rPr>
                <w:rFonts w:eastAsia="Times New Roman"/>
                <w:color w:val="000000"/>
                <w:sz w:val="18"/>
                <w:szCs w:val="18"/>
              </w:rPr>
              <w:br/>
              <w:t>“Total Contract Value” implies the inclusion of labor, facilities, hardware, software, telecommunications, office space, etc.  Could the Commonwealth please confirm that the aforementioned components should be included in total contract value?</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60% requirement in Part III-4 has been deleted and Part II-9 of the RFP has been revised.  </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170</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Addendum 7</w:t>
            </w:r>
            <w:r w:rsidRPr="007C4BDF">
              <w:rPr>
                <w:rFonts w:eastAsia="Times New Roman"/>
                <w:sz w:val="18"/>
                <w:szCs w:val="18"/>
              </w:rPr>
              <w:br/>
              <w:t>Questions and Answers Round 1 Part 3</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b/>
                <w:bCs/>
                <w:sz w:val="18"/>
                <w:szCs w:val="18"/>
              </w:rPr>
            </w:pPr>
            <w:r w:rsidRPr="007C4BDF">
              <w:rPr>
                <w:rFonts w:eastAsia="Times New Roman"/>
                <w:b/>
                <w:bCs/>
                <w:sz w:val="18"/>
                <w:szCs w:val="18"/>
              </w:rPr>
              <w:t>Question #45</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7</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Related to question #45, the Commonwealth has made no commitment to a baseline volume.  As such, legally, there is no financial commitment associated with this contract.  In this case the Total Contract Value = $0.  Given this, it would be impossible to calculate the percentage of work performed (i.e. the 60% requirement) of total contract value, because the denominator is 0.  In such an event, no vendor would qualify for any of the Small Diverse Business Participation points.  Is our interpretation correct?</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60% requirement in Part III-4 has been deleted and Part II-9 of the RFP has been revised.  </w:t>
            </w:r>
          </w:p>
        </w:tc>
      </w:tr>
      <w:tr w:rsidR="007C4BDF" w:rsidRPr="007C4BDF" w:rsidTr="007C4BDF">
        <w:trPr>
          <w:trHeight w:val="24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171</w:t>
            </w:r>
          </w:p>
        </w:tc>
        <w:tc>
          <w:tcPr>
            <w:tcW w:w="190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b/>
                <w:bCs/>
                <w:sz w:val="18"/>
                <w:szCs w:val="18"/>
              </w:rPr>
            </w:pPr>
            <w:r w:rsidRPr="007C4BDF">
              <w:rPr>
                <w:rFonts w:eastAsia="Times New Roman"/>
                <w:b/>
                <w:bCs/>
                <w:sz w:val="18"/>
                <w:szCs w:val="18"/>
              </w:rPr>
              <w:t>Request for Proposal</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II-9, B., 1.</w:t>
            </w:r>
            <w:r w:rsidRPr="007C4BDF">
              <w:rPr>
                <w:rFonts w:eastAsia="Times New Roman"/>
                <w:sz w:val="18"/>
                <w:szCs w:val="18"/>
              </w:rPr>
              <w:br/>
            </w:r>
            <w:r w:rsidRPr="007C4BDF">
              <w:rPr>
                <w:rFonts w:eastAsia="Times New Roman"/>
                <w:sz w:val="18"/>
                <w:szCs w:val="18"/>
              </w:rPr>
              <w:br/>
              <w:t>III-4, C., 1.</w:t>
            </w:r>
          </w:p>
        </w:tc>
        <w:tc>
          <w:tcPr>
            <w:tcW w:w="1692"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21</w:t>
            </w:r>
            <w:r w:rsidRPr="007C4BDF">
              <w:rPr>
                <w:rFonts w:eastAsia="Times New Roman"/>
                <w:sz w:val="18"/>
                <w:szCs w:val="18"/>
              </w:rPr>
              <w:br/>
            </w:r>
            <w:r w:rsidRPr="007C4BDF">
              <w:rPr>
                <w:rFonts w:eastAsia="Times New Roman"/>
                <w:sz w:val="18"/>
                <w:szCs w:val="18"/>
              </w:rPr>
              <w:br/>
              <w:t>24</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Section II-9, subsection B, item 1, of the RFP on page 21 states “Offerors must include a numerical percentage which represents the total percentage of the work (as a percentage of the total cost in the Cost Submittal) to be performed by the Offeror and not by subcontractors and suppliers.”  As this relates to the 60% </w:t>
            </w:r>
            <w:r w:rsidRPr="007C4BDF">
              <w:rPr>
                <w:rFonts w:eastAsia="Times New Roman"/>
                <w:color w:val="000000"/>
                <w:sz w:val="18"/>
                <w:szCs w:val="18"/>
              </w:rPr>
              <w:br/>
              <w:t>requirement in RFP section III-4, item C.1 on page 24 of the RFP, can the Commonwealth provide guidance on how to meet the 60% requirement given the amount of facilities, hardware, software, telecommunications, office space, etc. that would have to be included in the denominator of this calculation?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60% requirement in Part III-4 has been deleted and Part II-9 of the RFP has been revised.  </w:t>
            </w:r>
          </w:p>
        </w:tc>
      </w:tr>
      <w:tr w:rsidR="007C4BDF" w:rsidRPr="007C4BDF" w:rsidTr="007C4BDF">
        <w:trPr>
          <w:trHeight w:val="2160"/>
        </w:trPr>
        <w:tc>
          <w:tcPr>
            <w:tcW w:w="837" w:type="dxa"/>
            <w:tcBorders>
              <w:top w:val="nil"/>
              <w:left w:val="single" w:sz="4" w:space="0" w:color="auto"/>
              <w:bottom w:val="single" w:sz="4" w:space="0" w:color="auto"/>
              <w:right w:val="single" w:sz="4" w:space="0" w:color="auto"/>
            </w:tcBorders>
            <w:shd w:val="clear" w:color="000000" w:fill="FFFFFF"/>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172</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Questions and Answers – Round 1 Part 3</w:t>
            </w:r>
            <w:r w:rsidRPr="007C4BDF">
              <w:rPr>
                <w:rFonts w:eastAsia="Times New Roman"/>
                <w:sz w:val="18"/>
                <w:szCs w:val="18"/>
              </w:rPr>
              <w:br/>
              <w:t>RFP</w:t>
            </w:r>
          </w:p>
        </w:tc>
        <w:tc>
          <w:tcPr>
            <w:tcW w:w="1390" w:type="dxa"/>
            <w:tcBorders>
              <w:top w:val="nil"/>
              <w:left w:val="nil"/>
              <w:bottom w:val="single" w:sz="4" w:space="0" w:color="auto"/>
              <w:right w:val="single" w:sz="4" w:space="0" w:color="auto"/>
            </w:tcBorders>
            <w:shd w:val="clear" w:color="auto" w:fill="auto"/>
            <w:vAlign w:val="bottom"/>
            <w:hideMark/>
          </w:tcPr>
          <w:p w:rsidR="007C4BDF" w:rsidRPr="007C4BDF" w:rsidRDefault="007C4BDF" w:rsidP="007C4BDF">
            <w:pPr>
              <w:rPr>
                <w:rFonts w:eastAsia="Times New Roman"/>
                <w:sz w:val="18"/>
                <w:szCs w:val="18"/>
              </w:rPr>
            </w:pPr>
            <w:r w:rsidRPr="007C4BDF">
              <w:rPr>
                <w:rFonts w:eastAsia="Times New Roman"/>
                <w:sz w:val="18"/>
                <w:szCs w:val="18"/>
              </w:rPr>
              <w:t>29</w:t>
            </w:r>
            <w:r w:rsidRPr="007C4BDF">
              <w:rPr>
                <w:rFonts w:eastAsia="Times New Roman"/>
                <w:sz w:val="18"/>
                <w:szCs w:val="18"/>
              </w:rPr>
              <w:br/>
              <w:t>11-9, B,2, a</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rPr>
                <w:rFonts w:eastAsia="Times New Roman"/>
                <w:sz w:val="18"/>
                <w:szCs w:val="18"/>
              </w:rPr>
            </w:pPr>
            <w:r w:rsidRPr="007C4BDF">
              <w:rPr>
                <w:rFonts w:eastAsia="Times New Roman"/>
                <w:sz w:val="18"/>
                <w:szCs w:val="18"/>
              </w:rPr>
              <w:t>21</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 xml:space="preserve">The answer to this question restated the requirement to provide a “numerical percentage”; however, the answer did not address how a “dollar amount of each subcontract commitment to a Small Diverse Business” (as called for in the RFP Part II-9, B, 2, page 21) can be provided since the Commonwealth is not committing to a minimum participation.  In other words, given that the Commonwealth is unwilling to provide any level of financial commitment or any level of committed participation, please clarify how the “dollar amount” requirement should be calculated.  </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Part II-9 of the RFP has been revised.</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173</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current contract with the Unisys Corporation- Exhibit 1.02(31), within (Article 34.0- Service Level Credits) document does not exist.  Our SLA Manager needs the information within Exhibit 1.02(31) to complete the review of the SLAs.  Could you please send us Exhibit 1.02(31)?</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contract documents have been posted on the Pennsylvania Treasury website </w:t>
            </w:r>
            <w:hyperlink r:id="rId15" w:history="1">
              <w:r w:rsidRPr="00971603">
                <w:rPr>
                  <w:rStyle w:val="Hyperlink"/>
                  <w:rFonts w:eastAsia="Times New Roman"/>
                  <w:sz w:val="18"/>
                  <w:szCs w:val="18"/>
                </w:rPr>
                <w:t>http://contracts.patreasury.gov/View.aspx?ContractID=228198</w:t>
              </w:r>
            </w:hyperlink>
            <w:r w:rsidRPr="007C4BDF">
              <w:rPr>
                <w:rFonts w:eastAsia="Times New Roman"/>
                <w:sz w:val="18"/>
                <w:szCs w:val="18"/>
              </w:rPr>
              <w:t>.</w:t>
            </w:r>
          </w:p>
        </w:tc>
      </w:tr>
      <w:tr w:rsidR="007C4BDF" w:rsidRPr="007C4BDF" w:rsidTr="007C4BDF">
        <w:trPr>
          <w:trHeight w:val="1200"/>
        </w:trPr>
        <w:tc>
          <w:tcPr>
            <w:tcW w:w="837" w:type="dxa"/>
            <w:tcBorders>
              <w:top w:val="nil"/>
              <w:left w:val="single" w:sz="4" w:space="0" w:color="auto"/>
              <w:bottom w:val="single" w:sz="4" w:space="0" w:color="auto"/>
              <w:right w:val="single" w:sz="4" w:space="0" w:color="auto"/>
            </w:tcBorders>
            <w:shd w:val="clear" w:color="auto" w:fill="auto"/>
            <w:vAlign w:val="center"/>
            <w:hideMark/>
          </w:tcPr>
          <w:p w:rsidR="007C4BDF" w:rsidRPr="007C4BDF" w:rsidRDefault="007C4BDF" w:rsidP="007C4BDF">
            <w:pPr>
              <w:jc w:val="center"/>
              <w:rPr>
                <w:rFonts w:eastAsia="Times New Roman"/>
                <w:color w:val="000000"/>
                <w:sz w:val="18"/>
                <w:szCs w:val="18"/>
              </w:rPr>
            </w:pPr>
            <w:r w:rsidRPr="007C4BDF">
              <w:rPr>
                <w:rFonts w:eastAsia="Times New Roman"/>
                <w:color w:val="000000"/>
                <w:sz w:val="18"/>
                <w:szCs w:val="18"/>
              </w:rPr>
              <w:t>174</w:t>
            </w:r>
          </w:p>
        </w:tc>
        <w:tc>
          <w:tcPr>
            <w:tcW w:w="1900" w:type="dxa"/>
            <w:tcBorders>
              <w:top w:val="nil"/>
              <w:left w:val="nil"/>
              <w:bottom w:val="single" w:sz="4" w:space="0" w:color="auto"/>
              <w:right w:val="single" w:sz="4" w:space="0" w:color="auto"/>
            </w:tcBorders>
            <w:shd w:val="clear" w:color="auto" w:fill="auto"/>
            <w:vAlign w:val="center"/>
            <w:hideMark/>
          </w:tcPr>
          <w:p w:rsidR="007C4BDF" w:rsidRPr="007C4BDF" w:rsidRDefault="007C4BDF" w:rsidP="007C4BDF">
            <w:pPr>
              <w:rPr>
                <w:rFonts w:eastAsia="Times New Roman"/>
                <w:sz w:val="18"/>
                <w:szCs w:val="18"/>
              </w:rPr>
            </w:pPr>
            <w:r w:rsidRPr="007C4BDF">
              <w:rPr>
                <w:rFonts w:eastAsia="Times New Roman"/>
                <w:sz w:val="18"/>
                <w:szCs w:val="18"/>
              </w:rPr>
              <w:t>General Question</w:t>
            </w:r>
          </w:p>
        </w:tc>
        <w:tc>
          <w:tcPr>
            <w:tcW w:w="1390"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1692" w:type="dxa"/>
            <w:tcBorders>
              <w:top w:val="nil"/>
              <w:left w:val="nil"/>
              <w:bottom w:val="single" w:sz="4" w:space="0" w:color="auto"/>
              <w:right w:val="single" w:sz="4" w:space="0" w:color="auto"/>
            </w:tcBorders>
            <w:shd w:val="clear" w:color="auto" w:fill="auto"/>
            <w:noWrap/>
            <w:vAlign w:val="bottom"/>
            <w:hideMark/>
          </w:tcPr>
          <w:p w:rsidR="007C4BDF" w:rsidRPr="007C4BDF" w:rsidRDefault="007C4BDF" w:rsidP="007C4BDF">
            <w:pPr>
              <w:jc w:val="center"/>
              <w:rPr>
                <w:rFonts w:eastAsia="Times New Roman"/>
                <w:sz w:val="18"/>
                <w:szCs w:val="18"/>
              </w:rPr>
            </w:pPr>
            <w:r w:rsidRPr="007C4BDF">
              <w:rPr>
                <w:rFonts w:eastAsia="Times New Roman"/>
                <w:sz w:val="18"/>
                <w:szCs w:val="18"/>
              </w:rPr>
              <w:t> </w:t>
            </w:r>
          </w:p>
        </w:tc>
        <w:tc>
          <w:tcPr>
            <w:tcW w:w="4480"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color w:val="000000"/>
                <w:sz w:val="18"/>
                <w:szCs w:val="18"/>
              </w:rPr>
            </w:pPr>
            <w:r w:rsidRPr="007C4BDF">
              <w:rPr>
                <w:rFonts w:eastAsia="Times New Roman"/>
                <w:color w:val="000000"/>
                <w:sz w:val="18"/>
                <w:szCs w:val="18"/>
              </w:rPr>
              <w:t>The current contract with the Unisys Corporation- Exhibit 21.01, pages 7-33 are cut off in the PDF file that is found online in the eMarketplace.  Could you please send us a copy of the Exhibit 21.01 that includes all of the pages so there are not cut off pages due to a landscape orientation?</w:t>
            </w:r>
          </w:p>
        </w:tc>
        <w:tc>
          <w:tcPr>
            <w:tcW w:w="5981" w:type="dxa"/>
            <w:tcBorders>
              <w:top w:val="nil"/>
              <w:left w:val="nil"/>
              <w:bottom w:val="single" w:sz="4" w:space="0" w:color="auto"/>
              <w:right w:val="single" w:sz="4" w:space="0" w:color="auto"/>
            </w:tcBorders>
            <w:shd w:val="clear" w:color="auto" w:fill="auto"/>
            <w:hideMark/>
          </w:tcPr>
          <w:p w:rsidR="007C4BDF" w:rsidRPr="007C4BDF" w:rsidRDefault="007C4BDF" w:rsidP="007C4BDF">
            <w:pPr>
              <w:rPr>
                <w:rFonts w:eastAsia="Times New Roman"/>
                <w:sz w:val="18"/>
                <w:szCs w:val="18"/>
              </w:rPr>
            </w:pPr>
            <w:r w:rsidRPr="007C4BDF">
              <w:rPr>
                <w:rFonts w:eastAsia="Times New Roman"/>
                <w:sz w:val="18"/>
                <w:szCs w:val="18"/>
              </w:rPr>
              <w:t xml:space="preserve">The contract documents have been posted on the Pennsylvania Treasury website </w:t>
            </w:r>
            <w:hyperlink r:id="rId16" w:history="1">
              <w:r w:rsidRPr="00971603">
                <w:rPr>
                  <w:rStyle w:val="Hyperlink"/>
                  <w:rFonts w:eastAsia="Times New Roman"/>
                  <w:sz w:val="18"/>
                  <w:szCs w:val="18"/>
                </w:rPr>
                <w:t>http://contracts.patreasury.gov/View.aspx?ContractID=228198</w:t>
              </w:r>
            </w:hyperlink>
            <w:r w:rsidRPr="007C4BDF">
              <w:rPr>
                <w:rFonts w:eastAsia="Times New Roman"/>
                <w:sz w:val="18"/>
                <w:szCs w:val="18"/>
              </w:rPr>
              <w:t>.</w:t>
            </w:r>
          </w:p>
        </w:tc>
      </w:tr>
    </w:tbl>
    <w:p w:rsidR="00477BF3" w:rsidRDefault="00477BF3" w:rsidP="00003895">
      <w:pPr>
        <w:pStyle w:val="NoSpacing"/>
        <w:rPr>
          <w:rFonts w:ascii="Times New Roman" w:hAnsi="Times New Roman"/>
          <w:color w:val="000000" w:themeColor="text1"/>
          <w:sz w:val="18"/>
          <w:szCs w:val="18"/>
        </w:rPr>
      </w:pPr>
    </w:p>
    <w:p w:rsidR="00477BF3" w:rsidRDefault="00477BF3" w:rsidP="00003895">
      <w:pPr>
        <w:pStyle w:val="NoSpacing"/>
        <w:rPr>
          <w:rFonts w:ascii="Times New Roman" w:hAnsi="Times New Roman"/>
          <w:color w:val="000000" w:themeColor="text1"/>
          <w:sz w:val="18"/>
          <w:szCs w:val="18"/>
        </w:rPr>
      </w:pPr>
    </w:p>
    <w:p w:rsidR="00477BF3" w:rsidRDefault="00477BF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Pr="001C2B15" w:rsidRDefault="00182FE3" w:rsidP="00182FE3">
      <w:pPr>
        <w:rPr>
          <w:b/>
          <w:i/>
        </w:rPr>
      </w:pPr>
      <w:r>
        <w:rPr>
          <w:b/>
          <w:i/>
        </w:rPr>
        <w:t>Addendum 16 – New and Revised Answers</w:t>
      </w:r>
    </w:p>
    <w:p w:rsidR="00EE45CA" w:rsidRDefault="00EE45CA" w:rsidP="00182FE3">
      <w:pPr>
        <w:rPr>
          <w:b/>
          <w:i/>
        </w:rPr>
      </w:pPr>
      <w:bookmarkStart w:id="4" w:name="OLE_LINK3"/>
      <w:bookmarkStart w:id="5" w:name="OLE_LINK4"/>
    </w:p>
    <w:p w:rsidR="00182FE3" w:rsidRDefault="00182FE3" w:rsidP="00182FE3">
      <w:pPr>
        <w:rPr>
          <w:b/>
          <w:i/>
        </w:rPr>
      </w:pPr>
      <w:r>
        <w:rPr>
          <w:b/>
          <w:i/>
        </w:rPr>
        <w:t>Revised Answers</w:t>
      </w:r>
    </w:p>
    <w:bookmarkEnd w:id="4"/>
    <w:bookmarkEnd w:id="5"/>
    <w:p w:rsidR="00182FE3" w:rsidRDefault="00182FE3" w:rsidP="00003895">
      <w:pPr>
        <w:pStyle w:val="NoSpacing"/>
        <w:rPr>
          <w:rFonts w:ascii="Times New Roman" w:hAnsi="Times New Roman"/>
          <w:color w:val="000000" w:themeColor="text1"/>
          <w:sz w:val="18"/>
          <w:szCs w:val="18"/>
        </w:rPr>
      </w:pPr>
    </w:p>
    <w:tbl>
      <w:tblPr>
        <w:tblW w:w="175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710"/>
        <w:gridCol w:w="1153"/>
        <w:gridCol w:w="1105"/>
        <w:gridCol w:w="7192"/>
        <w:gridCol w:w="5670"/>
      </w:tblGrid>
      <w:tr w:rsidR="0015020A" w:rsidRPr="001A443A" w:rsidTr="0015020A">
        <w:trPr>
          <w:cantSplit/>
          <w:tblHeader/>
        </w:trPr>
        <w:tc>
          <w:tcPr>
            <w:tcW w:w="17550" w:type="dxa"/>
            <w:gridSpan w:val="6"/>
            <w:shd w:val="clear" w:color="auto" w:fill="C6D9F1" w:themeFill="text2" w:themeFillTint="33"/>
          </w:tcPr>
          <w:p w:rsidR="0015020A" w:rsidRPr="001A443A" w:rsidRDefault="0015020A" w:rsidP="0015020A">
            <w:pPr>
              <w:pStyle w:val="NoSpacing"/>
              <w:spacing w:before="60" w:after="60"/>
              <w:rPr>
                <w:rFonts w:ascii="Times New Roman" w:hAnsi="Times New Roman"/>
                <w:b/>
                <w:sz w:val="18"/>
                <w:szCs w:val="18"/>
              </w:rPr>
            </w:pPr>
            <w:r w:rsidRPr="001A443A">
              <w:rPr>
                <w:rFonts w:ascii="Times New Roman" w:hAnsi="Times New Roman"/>
                <w:b/>
                <w:i/>
                <w:sz w:val="18"/>
                <w:szCs w:val="18"/>
              </w:rPr>
              <w:t>Addendum 3 - Round 1, Part 1</w:t>
            </w:r>
          </w:p>
        </w:tc>
      </w:tr>
      <w:tr w:rsidR="0015020A" w:rsidRPr="001A443A" w:rsidTr="0015020A">
        <w:trPr>
          <w:cantSplit/>
          <w:tblHeader/>
        </w:trPr>
        <w:tc>
          <w:tcPr>
            <w:tcW w:w="720" w:type="dxa"/>
            <w:shd w:val="clear" w:color="auto" w:fill="C6D9F1" w:themeFill="text2" w:themeFillTint="33"/>
          </w:tcPr>
          <w:p w:rsidR="0015020A" w:rsidRPr="001A443A" w:rsidRDefault="0015020A" w:rsidP="0015020A">
            <w:pPr>
              <w:pStyle w:val="ListParagraph"/>
              <w:tabs>
                <w:tab w:val="left" w:pos="155"/>
              </w:tabs>
              <w:spacing w:before="60" w:after="60"/>
              <w:ind w:left="0"/>
              <w:jc w:val="center"/>
              <w:rPr>
                <w:rFonts w:ascii="Times New Roman" w:hAnsi="Times New Roman"/>
                <w:b/>
                <w:color w:val="000000" w:themeColor="text1"/>
                <w:sz w:val="18"/>
                <w:szCs w:val="18"/>
              </w:rPr>
            </w:pPr>
          </w:p>
        </w:tc>
        <w:tc>
          <w:tcPr>
            <w:tcW w:w="1710" w:type="dxa"/>
            <w:shd w:val="clear" w:color="auto" w:fill="C6D9F1" w:themeFill="text2" w:themeFillTint="33"/>
          </w:tcPr>
          <w:p w:rsidR="0015020A" w:rsidRPr="001A443A" w:rsidRDefault="0015020A" w:rsidP="0015020A">
            <w:pPr>
              <w:pStyle w:val="NoSpacing"/>
              <w:tabs>
                <w:tab w:val="left" w:pos="1221"/>
              </w:tabs>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153" w:type="dxa"/>
            <w:shd w:val="clear" w:color="auto" w:fill="C6D9F1" w:themeFill="text2" w:themeFillTint="33"/>
          </w:tcPr>
          <w:p w:rsidR="0015020A" w:rsidRPr="001A443A" w:rsidRDefault="0015020A" w:rsidP="0015020A">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1105" w:type="dxa"/>
            <w:shd w:val="clear" w:color="auto" w:fill="C6D9F1" w:themeFill="text2" w:themeFillTint="33"/>
          </w:tcPr>
          <w:p w:rsidR="0015020A" w:rsidRPr="001A443A" w:rsidRDefault="0015020A" w:rsidP="0015020A">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7192" w:type="dxa"/>
            <w:shd w:val="clear" w:color="auto" w:fill="C6D9F1" w:themeFill="text2" w:themeFillTint="33"/>
          </w:tcPr>
          <w:p w:rsidR="0015020A" w:rsidRPr="001A443A" w:rsidRDefault="0015020A" w:rsidP="0015020A">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5670" w:type="dxa"/>
            <w:shd w:val="clear" w:color="auto" w:fill="C6D9F1" w:themeFill="text2" w:themeFillTint="33"/>
          </w:tcPr>
          <w:p w:rsidR="0015020A" w:rsidRPr="001A443A" w:rsidRDefault="0015020A" w:rsidP="0015020A">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15020A" w:rsidRPr="001A443A" w:rsidTr="0015020A">
        <w:trPr>
          <w:cantSplit/>
        </w:trPr>
        <w:tc>
          <w:tcPr>
            <w:tcW w:w="720" w:type="dxa"/>
            <w:tcBorders>
              <w:top w:val="single" w:sz="4" w:space="0" w:color="auto"/>
              <w:left w:val="single" w:sz="4" w:space="0" w:color="auto"/>
              <w:bottom w:val="single" w:sz="4" w:space="0" w:color="auto"/>
              <w:right w:val="single" w:sz="4" w:space="0" w:color="auto"/>
            </w:tcBorders>
          </w:tcPr>
          <w:p w:rsidR="0015020A" w:rsidRPr="001A443A" w:rsidRDefault="0015020A" w:rsidP="0015020A">
            <w:pPr>
              <w:pStyle w:val="ListParagraph"/>
              <w:tabs>
                <w:tab w:val="left" w:pos="155"/>
              </w:tabs>
              <w:spacing w:before="60" w:after="60"/>
              <w:ind w:left="180"/>
              <w:jc w:val="center"/>
              <w:rPr>
                <w:rFonts w:ascii="Times New Roman" w:hAnsi="Times New Roman"/>
                <w:color w:val="000000" w:themeColor="text1"/>
                <w:sz w:val="18"/>
                <w:szCs w:val="18"/>
              </w:rPr>
            </w:pPr>
            <w:r>
              <w:rPr>
                <w:rFonts w:ascii="Times New Roman" w:hAnsi="Times New Roman"/>
                <w:color w:val="000000" w:themeColor="text1"/>
                <w:sz w:val="18"/>
                <w:szCs w:val="18"/>
              </w:rPr>
              <w:t>24.</w:t>
            </w:r>
          </w:p>
        </w:tc>
        <w:tc>
          <w:tcPr>
            <w:tcW w:w="1710" w:type="dxa"/>
            <w:tcBorders>
              <w:top w:val="single" w:sz="4" w:space="0" w:color="auto"/>
              <w:left w:val="single" w:sz="4" w:space="0" w:color="auto"/>
              <w:bottom w:val="single" w:sz="4" w:space="0" w:color="auto"/>
              <w:right w:val="single" w:sz="4" w:space="0" w:color="auto"/>
            </w:tcBorders>
          </w:tcPr>
          <w:p w:rsidR="0015020A" w:rsidRPr="001A443A" w:rsidRDefault="0015020A" w:rsidP="0015020A">
            <w:pPr>
              <w:spacing w:before="60" w:after="60"/>
              <w:jc w:val="center"/>
              <w:rPr>
                <w:color w:val="000000" w:themeColor="text1"/>
                <w:sz w:val="18"/>
                <w:szCs w:val="18"/>
              </w:rPr>
            </w:pPr>
            <w:r w:rsidRPr="001A443A">
              <w:rPr>
                <w:color w:val="000000" w:themeColor="text1"/>
                <w:sz w:val="18"/>
                <w:szCs w:val="18"/>
              </w:rPr>
              <w:t>Appendix A</w:t>
            </w:r>
          </w:p>
        </w:tc>
        <w:tc>
          <w:tcPr>
            <w:tcW w:w="1153" w:type="dxa"/>
            <w:tcBorders>
              <w:top w:val="single" w:sz="4" w:space="0" w:color="auto"/>
              <w:left w:val="single" w:sz="4" w:space="0" w:color="auto"/>
              <w:bottom w:val="single" w:sz="4" w:space="0" w:color="auto"/>
              <w:right w:val="single" w:sz="4" w:space="0" w:color="auto"/>
            </w:tcBorders>
          </w:tcPr>
          <w:p w:rsidR="0015020A" w:rsidRPr="001A443A" w:rsidRDefault="0015020A" w:rsidP="0015020A">
            <w:pPr>
              <w:spacing w:before="60" w:after="60"/>
              <w:jc w:val="center"/>
              <w:rPr>
                <w:color w:val="000000" w:themeColor="text1"/>
                <w:sz w:val="18"/>
                <w:szCs w:val="18"/>
              </w:rPr>
            </w:pPr>
            <w:r w:rsidRPr="001A443A">
              <w:rPr>
                <w:color w:val="000000" w:themeColor="text1"/>
                <w:sz w:val="18"/>
                <w:szCs w:val="18"/>
              </w:rPr>
              <w:t>9 (a)</w:t>
            </w:r>
          </w:p>
        </w:tc>
        <w:tc>
          <w:tcPr>
            <w:tcW w:w="1105" w:type="dxa"/>
            <w:tcBorders>
              <w:top w:val="single" w:sz="4" w:space="0" w:color="auto"/>
              <w:left w:val="single" w:sz="4" w:space="0" w:color="auto"/>
              <w:bottom w:val="single" w:sz="4" w:space="0" w:color="auto"/>
              <w:right w:val="single" w:sz="4" w:space="0" w:color="auto"/>
            </w:tcBorders>
          </w:tcPr>
          <w:p w:rsidR="0015020A" w:rsidRPr="001A443A" w:rsidRDefault="0015020A" w:rsidP="0015020A">
            <w:pPr>
              <w:spacing w:before="60" w:after="60"/>
              <w:jc w:val="center"/>
              <w:rPr>
                <w:color w:val="000000" w:themeColor="text1"/>
                <w:sz w:val="18"/>
                <w:szCs w:val="18"/>
              </w:rPr>
            </w:pPr>
            <w:r w:rsidRPr="001A443A">
              <w:rPr>
                <w:color w:val="000000" w:themeColor="text1"/>
                <w:sz w:val="18"/>
                <w:szCs w:val="18"/>
              </w:rPr>
              <w:t>10</w:t>
            </w:r>
          </w:p>
        </w:tc>
        <w:tc>
          <w:tcPr>
            <w:tcW w:w="7192" w:type="dxa"/>
            <w:tcBorders>
              <w:top w:val="single" w:sz="4" w:space="0" w:color="auto"/>
              <w:left w:val="single" w:sz="4" w:space="0" w:color="auto"/>
              <w:bottom w:val="single" w:sz="4" w:space="0" w:color="auto"/>
              <w:right w:val="single" w:sz="4" w:space="0" w:color="auto"/>
            </w:tcBorders>
          </w:tcPr>
          <w:p w:rsidR="0015020A" w:rsidRPr="001A443A" w:rsidRDefault="0015020A" w:rsidP="0015020A">
            <w:pPr>
              <w:spacing w:before="60" w:after="60"/>
              <w:rPr>
                <w:color w:val="000000" w:themeColor="text1"/>
                <w:sz w:val="18"/>
                <w:szCs w:val="18"/>
              </w:rPr>
            </w:pPr>
            <w:r w:rsidRPr="001A443A">
              <w:rPr>
                <w:color w:val="000000" w:themeColor="text1"/>
                <w:sz w:val="18"/>
                <w:szCs w:val="18"/>
              </w:rPr>
              <w:t>Will Offeror have any responsibility for logical access (LDAP, Exchange, Active Directory, etc.)?</w:t>
            </w:r>
          </w:p>
        </w:tc>
        <w:tc>
          <w:tcPr>
            <w:tcW w:w="5670" w:type="dxa"/>
            <w:tcBorders>
              <w:top w:val="single" w:sz="4" w:space="0" w:color="auto"/>
              <w:left w:val="single" w:sz="4" w:space="0" w:color="auto"/>
              <w:bottom w:val="single" w:sz="4" w:space="0" w:color="auto"/>
              <w:right w:val="single" w:sz="4" w:space="0" w:color="auto"/>
            </w:tcBorders>
          </w:tcPr>
          <w:p w:rsidR="0015020A" w:rsidRPr="0015020A" w:rsidRDefault="0015020A" w:rsidP="0015020A">
            <w:pPr>
              <w:pStyle w:val="NoSpacing"/>
              <w:spacing w:before="60" w:after="60"/>
              <w:rPr>
                <w:rFonts w:ascii="Times New Roman" w:hAnsi="Times New Roman"/>
                <w:strike/>
                <w:color w:val="FF0000"/>
                <w:sz w:val="18"/>
                <w:szCs w:val="18"/>
              </w:rPr>
            </w:pPr>
            <w:r w:rsidRPr="0015020A">
              <w:rPr>
                <w:rFonts w:ascii="Times New Roman" w:hAnsi="Times New Roman"/>
                <w:strike/>
                <w:color w:val="FF0000"/>
                <w:sz w:val="18"/>
                <w:szCs w:val="18"/>
              </w:rPr>
              <w:t>Exchange as a Service is included within the scope of the RFP but the other services such as LDAP and Active Directory will remain under the Commonwealth’s control.  However, the selected Offeror must provide the equipment to operate these services.</w:t>
            </w:r>
          </w:p>
          <w:p w:rsidR="0015020A" w:rsidRDefault="0015020A" w:rsidP="0015020A">
            <w:pPr>
              <w:pStyle w:val="NoSpacing"/>
              <w:spacing w:before="60" w:after="60"/>
              <w:rPr>
                <w:rFonts w:ascii="Times New Roman" w:hAnsi="Times New Roman"/>
                <w:color w:val="000000" w:themeColor="text1"/>
                <w:sz w:val="18"/>
                <w:szCs w:val="18"/>
              </w:rPr>
            </w:pPr>
          </w:p>
          <w:p w:rsidR="0015020A" w:rsidRPr="00C931D0" w:rsidRDefault="0015020A" w:rsidP="0015020A">
            <w:pPr>
              <w:rPr>
                <w:rFonts w:eastAsia="Times New Roman"/>
                <w:b/>
                <w:bCs/>
                <w:sz w:val="18"/>
                <w:szCs w:val="18"/>
              </w:rPr>
            </w:pPr>
            <w:r w:rsidRPr="00C931D0">
              <w:rPr>
                <w:rFonts w:eastAsia="Times New Roman"/>
                <w:b/>
                <w:bCs/>
                <w:sz w:val="18"/>
                <w:szCs w:val="18"/>
              </w:rPr>
              <w:t>Revised Answer:</w:t>
            </w:r>
          </w:p>
          <w:p w:rsidR="0015020A" w:rsidRPr="001A443A" w:rsidRDefault="0015020A" w:rsidP="0015020A">
            <w:pPr>
              <w:pStyle w:val="NoSpacing"/>
              <w:spacing w:before="60" w:after="60"/>
              <w:rPr>
                <w:rFonts w:ascii="Times New Roman" w:hAnsi="Times New Roman"/>
                <w:color w:val="000000" w:themeColor="text1"/>
                <w:sz w:val="18"/>
                <w:szCs w:val="18"/>
              </w:rPr>
            </w:pPr>
            <w:r w:rsidRPr="0015020A">
              <w:rPr>
                <w:rFonts w:ascii="Times New Roman" w:hAnsi="Times New Roman"/>
                <w:color w:val="000000" w:themeColor="text1"/>
                <w:sz w:val="18"/>
                <w:szCs w:val="18"/>
              </w:rPr>
              <w:t>Exchange as a Service has been removed from this RFP.  Schedule F</w:t>
            </w:r>
            <w:r w:rsidR="006D2C64" w:rsidRPr="0015020A">
              <w:rPr>
                <w:rFonts w:ascii="Times New Roman" w:hAnsi="Times New Roman"/>
                <w:color w:val="000000" w:themeColor="text1"/>
                <w:sz w:val="18"/>
                <w:szCs w:val="18"/>
              </w:rPr>
              <w:t>, I</w:t>
            </w:r>
            <w:r w:rsidRPr="0015020A">
              <w:rPr>
                <w:rFonts w:ascii="Times New Roman" w:hAnsi="Times New Roman"/>
                <w:color w:val="000000" w:themeColor="text1"/>
                <w:sz w:val="18"/>
                <w:szCs w:val="18"/>
              </w:rPr>
              <w:t>, J.2 and J.3 have been revised to remove exchange as a service.</w:t>
            </w:r>
          </w:p>
        </w:tc>
      </w:tr>
    </w:tbl>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tbl>
      <w:tblPr>
        <w:tblW w:w="175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0"/>
        <w:gridCol w:w="900"/>
        <w:gridCol w:w="1153"/>
        <w:gridCol w:w="1105"/>
        <w:gridCol w:w="7372"/>
        <w:gridCol w:w="6030"/>
      </w:tblGrid>
      <w:tr w:rsidR="0015020A" w:rsidRPr="001A443A" w:rsidTr="0015020A">
        <w:trPr>
          <w:cantSplit/>
          <w:tblHeader/>
        </w:trPr>
        <w:tc>
          <w:tcPr>
            <w:tcW w:w="17550" w:type="dxa"/>
            <w:gridSpan w:val="6"/>
            <w:shd w:val="clear" w:color="auto" w:fill="C6D9F1" w:themeFill="text2" w:themeFillTint="33"/>
          </w:tcPr>
          <w:p w:rsidR="0015020A" w:rsidRPr="001A443A" w:rsidRDefault="0015020A" w:rsidP="0015020A">
            <w:pPr>
              <w:pStyle w:val="NoSpacing"/>
              <w:spacing w:before="60" w:after="60"/>
              <w:rPr>
                <w:rFonts w:ascii="Times New Roman" w:hAnsi="Times New Roman"/>
                <w:b/>
                <w:sz w:val="18"/>
                <w:szCs w:val="18"/>
              </w:rPr>
            </w:pPr>
            <w:r w:rsidRPr="001A443A">
              <w:rPr>
                <w:rFonts w:ascii="Times New Roman" w:hAnsi="Times New Roman"/>
                <w:b/>
                <w:i/>
                <w:sz w:val="18"/>
                <w:szCs w:val="18"/>
              </w:rPr>
              <w:t xml:space="preserve">Addendum </w:t>
            </w:r>
            <w:r>
              <w:rPr>
                <w:rFonts w:ascii="Times New Roman" w:hAnsi="Times New Roman"/>
                <w:b/>
                <w:i/>
                <w:sz w:val="18"/>
                <w:szCs w:val="18"/>
              </w:rPr>
              <w:t>4</w:t>
            </w:r>
            <w:r w:rsidRPr="001A443A">
              <w:rPr>
                <w:rFonts w:ascii="Times New Roman" w:hAnsi="Times New Roman"/>
                <w:b/>
                <w:i/>
                <w:sz w:val="18"/>
                <w:szCs w:val="18"/>
              </w:rPr>
              <w:t xml:space="preserve"> - Round 1, Part </w:t>
            </w:r>
            <w:r>
              <w:rPr>
                <w:rFonts w:ascii="Times New Roman" w:hAnsi="Times New Roman"/>
                <w:b/>
                <w:i/>
                <w:sz w:val="18"/>
                <w:szCs w:val="18"/>
              </w:rPr>
              <w:t>2</w:t>
            </w:r>
          </w:p>
        </w:tc>
      </w:tr>
      <w:tr w:rsidR="0015020A" w:rsidRPr="001A443A" w:rsidTr="0015020A">
        <w:trPr>
          <w:cantSplit/>
          <w:tblHeader/>
        </w:trPr>
        <w:tc>
          <w:tcPr>
            <w:tcW w:w="990" w:type="dxa"/>
            <w:shd w:val="clear" w:color="auto" w:fill="C6D9F1" w:themeFill="text2" w:themeFillTint="33"/>
          </w:tcPr>
          <w:p w:rsidR="0015020A" w:rsidRPr="001A443A" w:rsidRDefault="0015020A" w:rsidP="0015020A">
            <w:pPr>
              <w:pStyle w:val="ListParagraph"/>
              <w:tabs>
                <w:tab w:val="left" w:pos="155"/>
              </w:tabs>
              <w:spacing w:before="60" w:after="60"/>
              <w:ind w:left="0"/>
              <w:rPr>
                <w:rFonts w:ascii="Times New Roman" w:hAnsi="Times New Roman"/>
                <w:b/>
                <w:color w:val="000000" w:themeColor="text1"/>
                <w:sz w:val="18"/>
                <w:szCs w:val="18"/>
              </w:rPr>
            </w:pPr>
          </w:p>
        </w:tc>
        <w:tc>
          <w:tcPr>
            <w:tcW w:w="900" w:type="dxa"/>
            <w:shd w:val="clear" w:color="auto" w:fill="C6D9F1" w:themeFill="text2" w:themeFillTint="33"/>
          </w:tcPr>
          <w:p w:rsidR="0015020A" w:rsidRPr="001A443A" w:rsidRDefault="0015020A" w:rsidP="0015020A">
            <w:pPr>
              <w:pStyle w:val="NoSpacing"/>
              <w:tabs>
                <w:tab w:val="left" w:pos="1221"/>
              </w:tabs>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153" w:type="dxa"/>
            <w:shd w:val="clear" w:color="auto" w:fill="C6D9F1" w:themeFill="text2" w:themeFillTint="33"/>
          </w:tcPr>
          <w:p w:rsidR="0015020A" w:rsidRPr="001A443A" w:rsidRDefault="0015020A" w:rsidP="0015020A">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1105" w:type="dxa"/>
            <w:shd w:val="clear" w:color="auto" w:fill="C6D9F1" w:themeFill="text2" w:themeFillTint="33"/>
          </w:tcPr>
          <w:p w:rsidR="0015020A" w:rsidRPr="001A443A" w:rsidRDefault="0015020A" w:rsidP="0015020A">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7372" w:type="dxa"/>
            <w:shd w:val="clear" w:color="auto" w:fill="C6D9F1" w:themeFill="text2" w:themeFillTint="33"/>
          </w:tcPr>
          <w:p w:rsidR="0015020A" w:rsidRPr="001A443A" w:rsidRDefault="0015020A" w:rsidP="0015020A">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6030" w:type="dxa"/>
            <w:shd w:val="clear" w:color="auto" w:fill="C6D9F1" w:themeFill="text2" w:themeFillTint="33"/>
          </w:tcPr>
          <w:p w:rsidR="0015020A" w:rsidRPr="001A443A" w:rsidRDefault="0015020A" w:rsidP="0015020A">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15020A" w:rsidRPr="001A443A" w:rsidTr="0015020A">
        <w:trPr>
          <w:cantSplit/>
        </w:trPr>
        <w:tc>
          <w:tcPr>
            <w:tcW w:w="990" w:type="dxa"/>
            <w:shd w:val="clear" w:color="auto" w:fill="auto"/>
          </w:tcPr>
          <w:p w:rsidR="0015020A" w:rsidRPr="001A443A" w:rsidRDefault="0015020A" w:rsidP="0015020A">
            <w:pPr>
              <w:pStyle w:val="ListParagraph"/>
              <w:tabs>
                <w:tab w:val="left" w:pos="155"/>
              </w:tabs>
              <w:spacing w:before="60" w:after="60"/>
              <w:ind w:left="180"/>
              <w:rPr>
                <w:rFonts w:ascii="Times New Roman" w:hAnsi="Times New Roman"/>
                <w:color w:val="000000" w:themeColor="text1"/>
                <w:sz w:val="18"/>
                <w:szCs w:val="18"/>
              </w:rPr>
            </w:pPr>
            <w:r>
              <w:rPr>
                <w:rFonts w:ascii="Times New Roman" w:hAnsi="Times New Roman"/>
                <w:color w:val="000000" w:themeColor="text1"/>
                <w:sz w:val="18"/>
                <w:szCs w:val="18"/>
              </w:rPr>
              <w:t>69.</w:t>
            </w:r>
          </w:p>
        </w:tc>
        <w:tc>
          <w:tcPr>
            <w:tcW w:w="900" w:type="dxa"/>
            <w:shd w:val="clear" w:color="auto" w:fill="auto"/>
          </w:tcPr>
          <w:p w:rsidR="0015020A" w:rsidRPr="001A443A" w:rsidRDefault="0015020A" w:rsidP="0015020A">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Schedule F</w:t>
            </w:r>
          </w:p>
        </w:tc>
        <w:tc>
          <w:tcPr>
            <w:tcW w:w="1153" w:type="dxa"/>
            <w:shd w:val="clear" w:color="auto" w:fill="auto"/>
          </w:tcPr>
          <w:p w:rsidR="0015020A" w:rsidRPr="001A443A" w:rsidRDefault="0015020A" w:rsidP="0015020A">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3.2.5 Capacity on Demand Services</w:t>
            </w:r>
          </w:p>
        </w:tc>
        <w:tc>
          <w:tcPr>
            <w:tcW w:w="1105" w:type="dxa"/>
            <w:shd w:val="clear" w:color="auto" w:fill="auto"/>
          </w:tcPr>
          <w:p w:rsidR="0015020A" w:rsidRPr="001A443A" w:rsidRDefault="0015020A" w:rsidP="0015020A">
            <w:pPr>
              <w:pStyle w:val="NoSpacing"/>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133-141</w:t>
            </w:r>
          </w:p>
        </w:tc>
        <w:tc>
          <w:tcPr>
            <w:tcW w:w="7372" w:type="dxa"/>
            <w:shd w:val="clear" w:color="auto" w:fill="auto"/>
          </w:tcPr>
          <w:p w:rsidR="0015020A" w:rsidRPr="001A443A" w:rsidRDefault="0015020A" w:rsidP="0015020A">
            <w:pPr>
              <w:pStyle w:val="BulletListMultiple"/>
              <w:numPr>
                <w:ilvl w:val="0"/>
                <w:numId w:val="46"/>
              </w:numPr>
              <w:spacing w:before="60" w:after="60"/>
              <w:rPr>
                <w:rFonts w:ascii="Times New Roman" w:hAnsi="Times New Roman"/>
                <w:color w:val="000000" w:themeColor="text1"/>
                <w:sz w:val="18"/>
                <w:szCs w:val="18"/>
              </w:rPr>
            </w:pPr>
            <w:r w:rsidRPr="001A443A">
              <w:rPr>
                <w:rFonts w:ascii="Times New Roman" w:hAnsi="Times New Roman"/>
                <w:color w:val="000000" w:themeColor="text1"/>
                <w:sz w:val="18"/>
                <w:szCs w:val="18"/>
              </w:rPr>
              <w:t>Does CoPA have difficulty managing peaks and valleys in demand and workload in their test / dev environments?</w:t>
            </w:r>
          </w:p>
          <w:p w:rsidR="0015020A" w:rsidRPr="001A443A" w:rsidRDefault="0015020A" w:rsidP="0015020A">
            <w:pPr>
              <w:pStyle w:val="BulletListMultiple"/>
              <w:numPr>
                <w:ilvl w:val="0"/>
                <w:numId w:val="46"/>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MS Exchange as a service considered in or out of scope?</w:t>
            </w:r>
          </w:p>
          <w:p w:rsidR="0015020A" w:rsidRPr="001A443A" w:rsidRDefault="0015020A" w:rsidP="0015020A">
            <w:pPr>
              <w:pStyle w:val="bulletlistmultiplecxspmiddlecxspmiddle"/>
              <w:numPr>
                <w:ilvl w:val="0"/>
                <w:numId w:val="46"/>
              </w:numPr>
              <w:spacing w:before="60" w:beforeAutospacing="0" w:after="60" w:afterAutospacing="0"/>
              <w:ind w:left="409"/>
              <w:rPr>
                <w:color w:val="000000" w:themeColor="text1"/>
                <w:sz w:val="18"/>
                <w:szCs w:val="18"/>
              </w:rPr>
            </w:pPr>
            <w:r w:rsidRPr="001A443A">
              <w:rPr>
                <w:color w:val="000000" w:themeColor="text1"/>
                <w:sz w:val="18"/>
                <w:szCs w:val="18"/>
              </w:rPr>
              <w:t>Can GR resources be utilized for back office functions in our delivery model?</w:t>
            </w:r>
          </w:p>
          <w:p w:rsidR="0015020A" w:rsidRPr="001A443A" w:rsidRDefault="0015020A" w:rsidP="0015020A">
            <w:pPr>
              <w:pStyle w:val="bulletlistmultiplecxspmiddlecxspmiddlecxspmiddle"/>
              <w:numPr>
                <w:ilvl w:val="0"/>
                <w:numId w:val="46"/>
              </w:numPr>
              <w:spacing w:before="60" w:beforeAutospacing="0" w:after="60" w:afterAutospacing="0"/>
              <w:ind w:left="409"/>
              <w:rPr>
                <w:color w:val="000000" w:themeColor="text1"/>
                <w:sz w:val="18"/>
                <w:szCs w:val="18"/>
              </w:rPr>
            </w:pPr>
            <w:r w:rsidRPr="001A443A">
              <w:rPr>
                <w:color w:val="000000" w:themeColor="text1"/>
                <w:sz w:val="18"/>
                <w:szCs w:val="18"/>
              </w:rPr>
              <w:t>Is CoPA willing to relinquish architectural control in a capacity on demand environment?</w:t>
            </w:r>
          </w:p>
          <w:p w:rsidR="0015020A" w:rsidRPr="001A443A" w:rsidRDefault="0015020A" w:rsidP="0015020A">
            <w:pPr>
              <w:pStyle w:val="bulletlistmultiplecxspmiddlecxspmiddlecxspmiddle"/>
              <w:numPr>
                <w:ilvl w:val="0"/>
                <w:numId w:val="46"/>
              </w:numPr>
              <w:spacing w:before="60" w:beforeAutospacing="0" w:after="60" w:afterAutospacing="0"/>
              <w:ind w:left="409"/>
              <w:rPr>
                <w:color w:val="000000" w:themeColor="text1"/>
                <w:sz w:val="18"/>
                <w:szCs w:val="18"/>
              </w:rPr>
            </w:pPr>
            <w:r w:rsidRPr="001A443A">
              <w:rPr>
                <w:color w:val="000000" w:themeColor="text1"/>
                <w:sz w:val="18"/>
                <w:szCs w:val="18"/>
              </w:rPr>
              <w:t>Is the target for Image Activation in a capacity on demand environment under 24 hours?</w:t>
            </w:r>
          </w:p>
          <w:p w:rsidR="0015020A" w:rsidRPr="001A443A" w:rsidRDefault="0015020A" w:rsidP="0015020A">
            <w:pPr>
              <w:pStyle w:val="bulletlistmultiplecxspmiddlecxspmiddlecxspmiddle"/>
              <w:numPr>
                <w:ilvl w:val="0"/>
                <w:numId w:val="46"/>
              </w:numPr>
              <w:spacing w:before="60" w:beforeAutospacing="0" w:after="60" w:afterAutospacing="0"/>
              <w:ind w:left="409"/>
              <w:rPr>
                <w:color w:val="000000" w:themeColor="text1"/>
                <w:sz w:val="18"/>
                <w:szCs w:val="18"/>
              </w:rPr>
            </w:pPr>
            <w:r w:rsidRPr="001A443A">
              <w:rPr>
                <w:color w:val="000000" w:themeColor="text1"/>
                <w:sz w:val="18"/>
                <w:szCs w:val="18"/>
              </w:rPr>
              <w:t>Is CoPA willing to sign up for a minimum baseline?</w:t>
            </w:r>
          </w:p>
          <w:p w:rsidR="0015020A" w:rsidRPr="001A443A" w:rsidRDefault="0015020A" w:rsidP="0015020A">
            <w:pPr>
              <w:pStyle w:val="bulletlistmultiplecxspmiddlecxspmiddle"/>
              <w:numPr>
                <w:ilvl w:val="0"/>
                <w:numId w:val="46"/>
              </w:numPr>
              <w:spacing w:before="60" w:beforeAutospacing="0" w:after="60" w:afterAutospacing="0"/>
              <w:ind w:left="409"/>
              <w:rPr>
                <w:color w:val="000000" w:themeColor="text1"/>
                <w:sz w:val="18"/>
                <w:szCs w:val="18"/>
              </w:rPr>
            </w:pPr>
            <w:r w:rsidRPr="001A443A">
              <w:rPr>
                <w:color w:val="000000" w:themeColor="text1"/>
                <w:sz w:val="18"/>
                <w:szCs w:val="18"/>
              </w:rPr>
              <w:t>Is CoPA flexible to change its standardized service request process?</w:t>
            </w:r>
          </w:p>
          <w:p w:rsidR="0015020A" w:rsidRPr="001A443A" w:rsidRDefault="0015020A" w:rsidP="0015020A">
            <w:pPr>
              <w:pStyle w:val="BulletListMultiple"/>
              <w:numPr>
                <w:ilvl w:val="0"/>
                <w:numId w:val="46"/>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CoPA comfortable with the Agencies documenting requirements, but the Offeror defining the technology and service solution against those requirements to optimize across the Data Center?</w:t>
            </w:r>
          </w:p>
          <w:p w:rsidR="0015020A" w:rsidRPr="001A443A" w:rsidRDefault="0015020A" w:rsidP="0015020A">
            <w:pPr>
              <w:pStyle w:val="BulletListMultiple"/>
              <w:numPr>
                <w:ilvl w:val="0"/>
                <w:numId w:val="46"/>
              </w:numPr>
              <w:spacing w:before="60" w:after="60"/>
              <w:ind w:left="409"/>
              <w:rPr>
                <w:rFonts w:ascii="Times New Roman" w:hAnsi="Times New Roman"/>
                <w:color w:val="000000" w:themeColor="text1"/>
                <w:sz w:val="18"/>
                <w:szCs w:val="18"/>
              </w:rPr>
            </w:pPr>
            <w:r w:rsidRPr="001A443A">
              <w:rPr>
                <w:rFonts w:ascii="Times New Roman" w:hAnsi="Times New Roman"/>
                <w:color w:val="000000" w:themeColor="text1"/>
                <w:sz w:val="18"/>
                <w:szCs w:val="18"/>
              </w:rPr>
              <w:t>Is CoPA willing to relinquish control over outage windows and when/ how images are patched for their capacity on demand?</w:t>
            </w:r>
          </w:p>
        </w:tc>
        <w:tc>
          <w:tcPr>
            <w:tcW w:w="6030" w:type="dxa"/>
            <w:shd w:val="clear" w:color="auto" w:fill="auto"/>
          </w:tcPr>
          <w:p w:rsidR="0015020A" w:rsidRPr="0015020A" w:rsidRDefault="0015020A" w:rsidP="0015020A">
            <w:pPr>
              <w:pStyle w:val="NoSpacing"/>
              <w:numPr>
                <w:ilvl w:val="0"/>
                <w:numId w:val="47"/>
              </w:numPr>
              <w:spacing w:before="60" w:after="60"/>
              <w:rPr>
                <w:rFonts w:ascii="Times New Roman" w:hAnsi="Times New Roman"/>
                <w:strike/>
                <w:color w:val="FF0000"/>
                <w:sz w:val="18"/>
                <w:szCs w:val="18"/>
              </w:rPr>
            </w:pPr>
            <w:r w:rsidRPr="0015020A">
              <w:rPr>
                <w:rFonts w:ascii="Times New Roman" w:hAnsi="Times New Roman"/>
                <w:strike/>
                <w:color w:val="FF0000"/>
                <w:sz w:val="18"/>
                <w:szCs w:val="18"/>
              </w:rPr>
              <w:t>Yes.</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In scope.</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Please define “GR resources.”</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No.  The Offeror must propose an architecture and the Commonwealth then will approve or disapprove before implementation.</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 xml:space="preserve">Yes, the Commonwealth is, however, always looking for the ability to deliver services in a shorter interval.  </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No.</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Yes.</w:t>
            </w:r>
          </w:p>
          <w:p w:rsidR="0015020A" w:rsidRP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No.  The Offeror must propose an architecture and the Commonwealth then will approve or disapprove before implementation.</w:t>
            </w:r>
          </w:p>
          <w:p w:rsidR="0015020A" w:rsidRDefault="0015020A" w:rsidP="0015020A">
            <w:pPr>
              <w:pStyle w:val="NoSpacing"/>
              <w:numPr>
                <w:ilvl w:val="0"/>
                <w:numId w:val="47"/>
              </w:numPr>
              <w:spacing w:before="60" w:after="60"/>
              <w:ind w:left="342"/>
              <w:rPr>
                <w:rFonts w:ascii="Times New Roman" w:hAnsi="Times New Roman"/>
                <w:strike/>
                <w:color w:val="FF0000"/>
                <w:sz w:val="18"/>
                <w:szCs w:val="18"/>
              </w:rPr>
            </w:pPr>
            <w:r w:rsidRPr="0015020A">
              <w:rPr>
                <w:rFonts w:ascii="Times New Roman" w:hAnsi="Times New Roman"/>
                <w:strike/>
                <w:color w:val="FF0000"/>
                <w:sz w:val="18"/>
                <w:szCs w:val="18"/>
              </w:rPr>
              <w:t>No</w:t>
            </w:r>
          </w:p>
          <w:p w:rsidR="0015020A" w:rsidRDefault="0015020A" w:rsidP="0015020A">
            <w:pPr>
              <w:pStyle w:val="NoSpacing"/>
              <w:spacing w:before="60" w:after="60"/>
              <w:rPr>
                <w:rFonts w:ascii="Times New Roman" w:hAnsi="Times New Roman"/>
                <w:strike/>
                <w:color w:val="FF0000"/>
                <w:sz w:val="18"/>
                <w:szCs w:val="18"/>
              </w:rPr>
            </w:pPr>
          </w:p>
          <w:p w:rsidR="0015020A" w:rsidRPr="00C931D0" w:rsidRDefault="0015020A" w:rsidP="0015020A">
            <w:pPr>
              <w:rPr>
                <w:rFonts w:eastAsia="Times New Roman"/>
                <w:b/>
                <w:bCs/>
                <w:sz w:val="18"/>
                <w:szCs w:val="18"/>
              </w:rPr>
            </w:pPr>
            <w:r w:rsidRPr="00C931D0">
              <w:rPr>
                <w:rFonts w:eastAsia="Times New Roman"/>
                <w:b/>
                <w:bCs/>
                <w:sz w:val="18"/>
                <w:szCs w:val="18"/>
              </w:rPr>
              <w:t>Revised Answer:</w:t>
            </w:r>
          </w:p>
          <w:p w:rsidR="0015020A" w:rsidRPr="0015020A" w:rsidRDefault="0015020A" w:rsidP="0015020A">
            <w:pPr>
              <w:pStyle w:val="NoSpacing"/>
              <w:numPr>
                <w:ilvl w:val="0"/>
                <w:numId w:val="48"/>
              </w:numPr>
              <w:spacing w:before="60" w:after="60"/>
              <w:rPr>
                <w:rFonts w:ascii="Times New Roman" w:hAnsi="Times New Roman"/>
                <w:color w:val="000000"/>
                <w:sz w:val="18"/>
                <w:szCs w:val="18"/>
              </w:rPr>
            </w:pPr>
            <w:r w:rsidRPr="0015020A">
              <w:rPr>
                <w:rFonts w:ascii="Times New Roman" w:hAnsi="Times New Roman"/>
                <w:color w:val="000000"/>
                <w:sz w:val="18"/>
                <w:szCs w:val="18"/>
              </w:rPr>
              <w:t>Yes.</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Exchange as a Service has been removed from this RFP.  Schedule F,</w:t>
            </w:r>
            <w:r w:rsidR="006D2C64" w:rsidRPr="0015020A">
              <w:rPr>
                <w:rFonts w:ascii="Times New Roman" w:hAnsi="Times New Roman"/>
                <w:color w:val="000000"/>
                <w:sz w:val="18"/>
                <w:szCs w:val="18"/>
              </w:rPr>
              <w:t> I</w:t>
            </w:r>
            <w:r w:rsidRPr="0015020A">
              <w:rPr>
                <w:rFonts w:ascii="Times New Roman" w:hAnsi="Times New Roman"/>
                <w:color w:val="000000"/>
                <w:sz w:val="18"/>
                <w:szCs w:val="18"/>
              </w:rPr>
              <w:t>, J.2 and J.3 have been revised to remove exchange as a service.</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Please define “GR resources.”</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No.  The Offeror must propose an architecture and the Commonwealth then will approve or disapprove before implementation.</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 xml:space="preserve">Yes, the Commonwealth is, however, always looking for the ability to deliver services in a shorter interval.  </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No.</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Yes.</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 xml:space="preserve">No.  The Offeror must propose </w:t>
            </w:r>
            <w:r w:rsidR="00C669D8">
              <w:rPr>
                <w:rFonts w:ascii="Times New Roman" w:hAnsi="Times New Roman"/>
                <w:color w:val="000000"/>
                <w:sz w:val="18"/>
                <w:szCs w:val="18"/>
              </w:rPr>
              <w:t xml:space="preserve">an </w:t>
            </w:r>
            <w:r w:rsidR="00C669D8" w:rsidRPr="0015020A">
              <w:rPr>
                <w:rFonts w:ascii="Times New Roman" w:hAnsi="Times New Roman"/>
                <w:color w:val="000000"/>
                <w:sz w:val="18"/>
                <w:szCs w:val="18"/>
              </w:rPr>
              <w:t>architecture</w:t>
            </w:r>
            <w:r w:rsidRPr="0015020A">
              <w:rPr>
                <w:rFonts w:ascii="Times New Roman" w:hAnsi="Times New Roman"/>
                <w:color w:val="000000"/>
                <w:sz w:val="18"/>
                <w:szCs w:val="18"/>
              </w:rPr>
              <w:t xml:space="preserve"> and the Commonwealth then will approve or disapprove before implementation.</w:t>
            </w:r>
          </w:p>
          <w:p w:rsidR="0015020A" w:rsidRPr="0015020A" w:rsidRDefault="0015020A" w:rsidP="0015020A">
            <w:pPr>
              <w:pStyle w:val="NoSpacing"/>
              <w:numPr>
                <w:ilvl w:val="0"/>
                <w:numId w:val="48"/>
              </w:numPr>
              <w:spacing w:before="60" w:after="60"/>
              <w:ind w:left="342"/>
              <w:rPr>
                <w:rFonts w:ascii="Times New Roman" w:hAnsi="Times New Roman"/>
                <w:color w:val="000000"/>
                <w:sz w:val="18"/>
                <w:szCs w:val="18"/>
              </w:rPr>
            </w:pPr>
            <w:r w:rsidRPr="0015020A">
              <w:rPr>
                <w:rFonts w:ascii="Times New Roman" w:hAnsi="Times New Roman"/>
                <w:color w:val="000000"/>
                <w:sz w:val="18"/>
                <w:szCs w:val="18"/>
              </w:rPr>
              <w:t>No</w:t>
            </w:r>
          </w:p>
          <w:p w:rsidR="0015020A" w:rsidRPr="0015020A" w:rsidRDefault="0015020A" w:rsidP="0015020A">
            <w:pPr>
              <w:pStyle w:val="NoSpacing"/>
              <w:spacing w:before="60" w:after="60"/>
              <w:rPr>
                <w:rFonts w:ascii="Times New Roman" w:hAnsi="Times New Roman"/>
                <w:strike/>
                <w:color w:val="FF0000"/>
                <w:sz w:val="18"/>
                <w:szCs w:val="18"/>
              </w:rPr>
            </w:pPr>
          </w:p>
        </w:tc>
      </w:tr>
    </w:tbl>
    <w:p w:rsidR="00182FE3" w:rsidRDefault="00182FE3"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tbl>
      <w:tblPr>
        <w:tblW w:w="17475" w:type="dxa"/>
        <w:tblInd w:w="93" w:type="dxa"/>
        <w:tblLook w:val="04A0"/>
      </w:tblPr>
      <w:tblGrid>
        <w:gridCol w:w="909"/>
        <w:gridCol w:w="1216"/>
        <w:gridCol w:w="1461"/>
        <w:gridCol w:w="996"/>
        <w:gridCol w:w="6863"/>
        <w:gridCol w:w="6030"/>
      </w:tblGrid>
      <w:tr w:rsidR="0015020A" w:rsidRPr="008A1635" w:rsidTr="006D2C64">
        <w:trPr>
          <w:cantSplit/>
          <w:trHeight w:val="369"/>
        </w:trPr>
        <w:tc>
          <w:tcPr>
            <w:tcW w:w="17475" w:type="dxa"/>
            <w:gridSpan w:val="6"/>
            <w:tcBorders>
              <w:top w:val="nil"/>
              <w:left w:val="single" w:sz="4" w:space="0" w:color="auto"/>
              <w:bottom w:val="single" w:sz="4" w:space="0" w:color="auto"/>
              <w:right w:val="single" w:sz="4" w:space="0" w:color="auto"/>
            </w:tcBorders>
            <w:shd w:val="clear" w:color="auto" w:fill="B8CCE4" w:themeFill="accent1" w:themeFillTint="66"/>
            <w:hideMark/>
          </w:tcPr>
          <w:p w:rsidR="0015020A" w:rsidRPr="001A443A" w:rsidRDefault="0015020A" w:rsidP="006D2C64">
            <w:pPr>
              <w:pStyle w:val="NoSpacing"/>
              <w:spacing w:before="60" w:after="60"/>
              <w:rPr>
                <w:rFonts w:ascii="Times New Roman" w:hAnsi="Times New Roman"/>
                <w:b/>
                <w:sz w:val="18"/>
                <w:szCs w:val="18"/>
              </w:rPr>
            </w:pPr>
            <w:r w:rsidRPr="001A443A">
              <w:rPr>
                <w:rFonts w:ascii="Times New Roman" w:hAnsi="Times New Roman"/>
                <w:b/>
                <w:i/>
                <w:sz w:val="18"/>
                <w:szCs w:val="18"/>
              </w:rPr>
              <w:t xml:space="preserve">Addendum </w:t>
            </w:r>
            <w:r w:rsidR="006D2C64">
              <w:rPr>
                <w:rFonts w:ascii="Times New Roman" w:hAnsi="Times New Roman"/>
                <w:b/>
                <w:i/>
                <w:sz w:val="18"/>
                <w:szCs w:val="18"/>
              </w:rPr>
              <w:t>7</w:t>
            </w:r>
            <w:r w:rsidRPr="001A443A">
              <w:rPr>
                <w:rFonts w:ascii="Times New Roman" w:hAnsi="Times New Roman"/>
                <w:b/>
                <w:i/>
                <w:sz w:val="18"/>
                <w:szCs w:val="18"/>
              </w:rPr>
              <w:t xml:space="preserve"> - Round 1, Part </w:t>
            </w:r>
            <w:r w:rsidR="006D2C64">
              <w:rPr>
                <w:rFonts w:ascii="Times New Roman" w:hAnsi="Times New Roman"/>
                <w:b/>
                <w:i/>
                <w:sz w:val="18"/>
                <w:szCs w:val="18"/>
              </w:rPr>
              <w:t>3</w:t>
            </w:r>
          </w:p>
        </w:tc>
      </w:tr>
      <w:tr w:rsidR="0015020A" w:rsidRPr="008A1635" w:rsidTr="006D2C64">
        <w:trPr>
          <w:cantSplit/>
          <w:trHeight w:val="359"/>
        </w:trPr>
        <w:tc>
          <w:tcPr>
            <w:tcW w:w="909" w:type="dxa"/>
            <w:tcBorders>
              <w:top w:val="nil"/>
              <w:left w:val="single" w:sz="4" w:space="0" w:color="auto"/>
              <w:bottom w:val="single" w:sz="4" w:space="0" w:color="auto"/>
              <w:right w:val="single" w:sz="4" w:space="0" w:color="auto"/>
            </w:tcBorders>
            <w:shd w:val="clear" w:color="auto" w:fill="B8CCE4" w:themeFill="accent1" w:themeFillTint="66"/>
            <w:hideMark/>
          </w:tcPr>
          <w:p w:rsidR="0015020A" w:rsidRPr="001A443A" w:rsidRDefault="0015020A" w:rsidP="006D2C64">
            <w:pPr>
              <w:pStyle w:val="ListParagraph"/>
              <w:tabs>
                <w:tab w:val="left" w:pos="155"/>
              </w:tabs>
              <w:spacing w:before="60" w:after="60"/>
              <w:ind w:left="0"/>
              <w:jc w:val="center"/>
              <w:rPr>
                <w:rFonts w:ascii="Times New Roman" w:hAnsi="Times New Roman"/>
                <w:b/>
                <w:color w:val="000000" w:themeColor="text1"/>
                <w:sz w:val="18"/>
                <w:szCs w:val="18"/>
              </w:rPr>
            </w:pPr>
          </w:p>
        </w:tc>
        <w:tc>
          <w:tcPr>
            <w:tcW w:w="1216" w:type="dxa"/>
            <w:tcBorders>
              <w:top w:val="nil"/>
              <w:left w:val="nil"/>
              <w:bottom w:val="single" w:sz="4" w:space="0" w:color="auto"/>
              <w:right w:val="single" w:sz="4" w:space="0" w:color="auto"/>
            </w:tcBorders>
            <w:shd w:val="clear" w:color="auto" w:fill="B8CCE4" w:themeFill="accent1" w:themeFillTint="66"/>
            <w:hideMark/>
          </w:tcPr>
          <w:p w:rsidR="0015020A" w:rsidRPr="001A443A" w:rsidRDefault="0015020A" w:rsidP="006D2C64">
            <w:pPr>
              <w:pStyle w:val="NoSpacing"/>
              <w:tabs>
                <w:tab w:val="left" w:pos="1221"/>
              </w:tabs>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461" w:type="dxa"/>
            <w:tcBorders>
              <w:top w:val="nil"/>
              <w:left w:val="nil"/>
              <w:bottom w:val="single" w:sz="4" w:space="0" w:color="auto"/>
              <w:right w:val="single" w:sz="4" w:space="0" w:color="auto"/>
            </w:tcBorders>
            <w:shd w:val="clear" w:color="auto" w:fill="B8CCE4" w:themeFill="accent1" w:themeFillTint="66"/>
            <w:hideMark/>
          </w:tcPr>
          <w:p w:rsidR="0015020A" w:rsidRPr="001A443A" w:rsidRDefault="0015020A" w:rsidP="006D2C64">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996" w:type="dxa"/>
            <w:tcBorders>
              <w:top w:val="nil"/>
              <w:left w:val="nil"/>
              <w:bottom w:val="single" w:sz="4" w:space="0" w:color="auto"/>
              <w:right w:val="single" w:sz="4" w:space="0" w:color="auto"/>
            </w:tcBorders>
            <w:shd w:val="clear" w:color="auto" w:fill="B8CCE4" w:themeFill="accent1" w:themeFillTint="66"/>
            <w:hideMark/>
          </w:tcPr>
          <w:p w:rsidR="0015020A" w:rsidRPr="001A443A" w:rsidRDefault="0015020A" w:rsidP="006D2C64">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6863" w:type="dxa"/>
            <w:tcBorders>
              <w:top w:val="nil"/>
              <w:left w:val="nil"/>
              <w:bottom w:val="single" w:sz="4" w:space="0" w:color="auto"/>
              <w:right w:val="single" w:sz="4" w:space="0" w:color="auto"/>
            </w:tcBorders>
            <w:shd w:val="clear" w:color="auto" w:fill="B8CCE4" w:themeFill="accent1" w:themeFillTint="66"/>
            <w:hideMark/>
          </w:tcPr>
          <w:p w:rsidR="0015020A" w:rsidRPr="001A443A" w:rsidRDefault="0015020A" w:rsidP="0015020A">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6030" w:type="dxa"/>
            <w:tcBorders>
              <w:top w:val="nil"/>
              <w:left w:val="nil"/>
              <w:bottom w:val="single" w:sz="4" w:space="0" w:color="auto"/>
              <w:right w:val="single" w:sz="4" w:space="0" w:color="auto"/>
            </w:tcBorders>
            <w:shd w:val="clear" w:color="auto" w:fill="B8CCE4" w:themeFill="accent1" w:themeFillTint="66"/>
            <w:hideMark/>
          </w:tcPr>
          <w:p w:rsidR="0015020A" w:rsidRPr="001A443A" w:rsidRDefault="0015020A" w:rsidP="0015020A">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15020A" w:rsidRPr="008A1635" w:rsidTr="006D2C64">
        <w:trPr>
          <w:cantSplit/>
          <w:trHeight w:val="1200"/>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15020A" w:rsidRPr="008A1635" w:rsidRDefault="0015020A" w:rsidP="006D2C64">
            <w:pPr>
              <w:jc w:val="center"/>
              <w:rPr>
                <w:rFonts w:eastAsia="Times New Roman"/>
                <w:color w:val="000000"/>
                <w:sz w:val="18"/>
                <w:szCs w:val="18"/>
              </w:rPr>
            </w:pPr>
            <w:r w:rsidRPr="008A1635">
              <w:rPr>
                <w:rFonts w:eastAsia="Times New Roman"/>
                <w:color w:val="000000"/>
                <w:sz w:val="18"/>
                <w:szCs w:val="18"/>
              </w:rPr>
              <w:t>38</w:t>
            </w:r>
          </w:p>
        </w:tc>
        <w:tc>
          <w:tcPr>
            <w:tcW w:w="1216" w:type="dxa"/>
            <w:tcBorders>
              <w:top w:val="nil"/>
              <w:left w:val="nil"/>
              <w:bottom w:val="single" w:sz="4" w:space="0" w:color="auto"/>
              <w:right w:val="single" w:sz="4" w:space="0" w:color="auto"/>
            </w:tcBorders>
            <w:shd w:val="clear" w:color="auto" w:fill="auto"/>
            <w:vAlign w:val="center"/>
            <w:hideMark/>
          </w:tcPr>
          <w:p w:rsidR="0015020A" w:rsidRPr="008A1635" w:rsidRDefault="0015020A" w:rsidP="006D2C64">
            <w:pPr>
              <w:jc w:val="center"/>
              <w:rPr>
                <w:rFonts w:eastAsia="Times New Roman"/>
                <w:color w:val="000000"/>
                <w:sz w:val="18"/>
                <w:szCs w:val="18"/>
              </w:rPr>
            </w:pPr>
            <w:r w:rsidRPr="008A1635">
              <w:rPr>
                <w:rFonts w:eastAsia="Times New Roman"/>
                <w:color w:val="000000"/>
                <w:sz w:val="18"/>
                <w:szCs w:val="18"/>
              </w:rPr>
              <w:t>Schedule F</w:t>
            </w:r>
          </w:p>
        </w:tc>
        <w:tc>
          <w:tcPr>
            <w:tcW w:w="1461" w:type="dxa"/>
            <w:tcBorders>
              <w:top w:val="nil"/>
              <w:left w:val="nil"/>
              <w:bottom w:val="single" w:sz="4" w:space="0" w:color="auto"/>
              <w:right w:val="single" w:sz="4" w:space="0" w:color="auto"/>
            </w:tcBorders>
            <w:shd w:val="clear" w:color="auto" w:fill="auto"/>
            <w:vAlign w:val="center"/>
            <w:hideMark/>
          </w:tcPr>
          <w:p w:rsidR="0015020A" w:rsidRPr="008A1635" w:rsidRDefault="0015020A" w:rsidP="006D2C64">
            <w:pPr>
              <w:jc w:val="center"/>
              <w:rPr>
                <w:rFonts w:eastAsia="Times New Roman"/>
                <w:color w:val="000000"/>
                <w:sz w:val="18"/>
                <w:szCs w:val="18"/>
              </w:rPr>
            </w:pPr>
            <w:r w:rsidRPr="008A1635">
              <w:rPr>
                <w:rFonts w:eastAsia="Times New Roman"/>
                <w:color w:val="000000"/>
                <w:sz w:val="18"/>
                <w:szCs w:val="18"/>
              </w:rPr>
              <w:t>2.3.3</w:t>
            </w:r>
          </w:p>
        </w:tc>
        <w:tc>
          <w:tcPr>
            <w:tcW w:w="996" w:type="dxa"/>
            <w:tcBorders>
              <w:top w:val="nil"/>
              <w:left w:val="nil"/>
              <w:bottom w:val="single" w:sz="4" w:space="0" w:color="auto"/>
              <w:right w:val="single" w:sz="4" w:space="0" w:color="auto"/>
            </w:tcBorders>
            <w:shd w:val="clear" w:color="auto" w:fill="auto"/>
            <w:vAlign w:val="center"/>
            <w:hideMark/>
          </w:tcPr>
          <w:p w:rsidR="0015020A" w:rsidRPr="008A1635" w:rsidRDefault="0015020A" w:rsidP="006D2C64">
            <w:pPr>
              <w:jc w:val="center"/>
              <w:rPr>
                <w:rFonts w:eastAsia="Times New Roman"/>
                <w:color w:val="000000"/>
                <w:sz w:val="18"/>
                <w:szCs w:val="18"/>
              </w:rPr>
            </w:pPr>
            <w:r w:rsidRPr="008A1635">
              <w:rPr>
                <w:rFonts w:eastAsia="Times New Roman"/>
                <w:color w:val="000000"/>
                <w:sz w:val="18"/>
                <w:szCs w:val="18"/>
              </w:rPr>
              <w:t>10</w:t>
            </w:r>
          </w:p>
        </w:tc>
        <w:tc>
          <w:tcPr>
            <w:tcW w:w="6863" w:type="dxa"/>
            <w:tcBorders>
              <w:top w:val="nil"/>
              <w:left w:val="nil"/>
              <w:bottom w:val="single" w:sz="4" w:space="0" w:color="auto"/>
              <w:right w:val="single" w:sz="4" w:space="0" w:color="auto"/>
            </w:tcBorders>
            <w:shd w:val="clear" w:color="auto" w:fill="auto"/>
            <w:hideMark/>
          </w:tcPr>
          <w:p w:rsidR="0015020A" w:rsidRPr="008A1635" w:rsidRDefault="0015020A" w:rsidP="0015020A">
            <w:pPr>
              <w:rPr>
                <w:rFonts w:eastAsia="Times New Roman"/>
                <w:color w:val="000000"/>
                <w:sz w:val="18"/>
                <w:szCs w:val="18"/>
              </w:rPr>
            </w:pPr>
            <w:r w:rsidRPr="008A1635">
              <w:rPr>
                <w:rFonts w:eastAsia="Times New Roman"/>
                <w:color w:val="000000"/>
                <w:sz w:val="18"/>
                <w:szCs w:val="18"/>
              </w:rPr>
              <w:t>The services framework graphic notes "Exchange as a Service" as a capacity on-demand/additional service offering. This offering is not described anywhere else in schedule F. Please provide requirements and expectations around this service.</w:t>
            </w:r>
          </w:p>
        </w:tc>
        <w:tc>
          <w:tcPr>
            <w:tcW w:w="6030" w:type="dxa"/>
            <w:tcBorders>
              <w:top w:val="nil"/>
              <w:left w:val="nil"/>
              <w:bottom w:val="single" w:sz="4" w:space="0" w:color="auto"/>
              <w:right w:val="single" w:sz="4" w:space="0" w:color="auto"/>
            </w:tcBorders>
            <w:shd w:val="clear" w:color="auto" w:fill="auto"/>
            <w:hideMark/>
          </w:tcPr>
          <w:p w:rsidR="0015020A" w:rsidRDefault="0015020A" w:rsidP="0015020A">
            <w:pPr>
              <w:rPr>
                <w:rFonts w:eastAsia="Times New Roman"/>
                <w:strike/>
                <w:color w:val="FF0000"/>
                <w:sz w:val="18"/>
                <w:szCs w:val="18"/>
              </w:rPr>
            </w:pPr>
            <w:r w:rsidRPr="006D2C64">
              <w:rPr>
                <w:rFonts w:eastAsia="Times New Roman"/>
                <w:strike/>
                <w:color w:val="FF0000"/>
                <w:sz w:val="18"/>
                <w:szCs w:val="18"/>
              </w:rPr>
              <w:t>Schedule F has been amended and reissued to include requirements.</w:t>
            </w:r>
          </w:p>
          <w:p w:rsidR="006D2C64" w:rsidRDefault="006D2C64" w:rsidP="0015020A">
            <w:pPr>
              <w:rPr>
                <w:rFonts w:eastAsia="Times New Roman"/>
                <w:strike/>
                <w:color w:val="FF0000"/>
                <w:sz w:val="18"/>
                <w:szCs w:val="18"/>
              </w:rPr>
            </w:pPr>
          </w:p>
          <w:p w:rsidR="006D2C64" w:rsidRPr="00C931D0" w:rsidRDefault="006D2C64" w:rsidP="006D2C64">
            <w:pPr>
              <w:rPr>
                <w:rFonts w:eastAsia="Times New Roman"/>
                <w:b/>
                <w:bCs/>
                <w:sz w:val="18"/>
                <w:szCs w:val="18"/>
              </w:rPr>
            </w:pPr>
            <w:r w:rsidRPr="00C931D0">
              <w:rPr>
                <w:rFonts w:eastAsia="Times New Roman"/>
                <w:b/>
                <w:bCs/>
                <w:sz w:val="18"/>
                <w:szCs w:val="18"/>
              </w:rPr>
              <w:t>Revised Answer:</w:t>
            </w:r>
          </w:p>
          <w:p w:rsidR="006D2C64" w:rsidRPr="006D2C64" w:rsidRDefault="006D2C64" w:rsidP="0015020A">
            <w:pPr>
              <w:rPr>
                <w:rFonts w:eastAsia="Times New Roman"/>
                <w:strike/>
                <w:color w:val="FF0000"/>
                <w:sz w:val="18"/>
                <w:szCs w:val="18"/>
              </w:rPr>
            </w:pPr>
            <w:r w:rsidRPr="0015020A">
              <w:rPr>
                <w:color w:val="000000" w:themeColor="text1"/>
                <w:sz w:val="18"/>
                <w:szCs w:val="18"/>
              </w:rPr>
              <w:t>Exchange as a Service has been removed from this RFP.  Schedule F, I, J.2 and J.3 have been revised to remove exchange as a service.</w:t>
            </w:r>
          </w:p>
        </w:tc>
      </w:tr>
    </w:tbl>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tbl>
      <w:tblPr>
        <w:tblW w:w="17475" w:type="dxa"/>
        <w:tblInd w:w="93" w:type="dxa"/>
        <w:tblLook w:val="04A0"/>
      </w:tblPr>
      <w:tblGrid>
        <w:gridCol w:w="1206"/>
        <w:gridCol w:w="1209"/>
        <w:gridCol w:w="1436"/>
        <w:gridCol w:w="981"/>
        <w:gridCol w:w="6728"/>
        <w:gridCol w:w="5915"/>
      </w:tblGrid>
      <w:tr w:rsidR="006D2C64" w:rsidRPr="001A443A" w:rsidTr="00786DD3">
        <w:trPr>
          <w:cantSplit/>
          <w:trHeight w:val="369"/>
        </w:trPr>
        <w:tc>
          <w:tcPr>
            <w:tcW w:w="17475" w:type="dxa"/>
            <w:gridSpan w:val="6"/>
            <w:tcBorders>
              <w:top w:val="nil"/>
              <w:left w:val="single" w:sz="4" w:space="0" w:color="auto"/>
              <w:bottom w:val="single" w:sz="4" w:space="0" w:color="auto"/>
              <w:right w:val="single" w:sz="4" w:space="0" w:color="auto"/>
            </w:tcBorders>
            <w:shd w:val="clear" w:color="auto" w:fill="B8CCE4" w:themeFill="accent1" w:themeFillTint="66"/>
            <w:hideMark/>
          </w:tcPr>
          <w:p w:rsidR="006D2C64" w:rsidRPr="001A443A" w:rsidRDefault="006D2C64" w:rsidP="006D2C64">
            <w:pPr>
              <w:pStyle w:val="NoSpacing"/>
              <w:spacing w:before="60" w:after="60"/>
              <w:rPr>
                <w:rFonts w:ascii="Times New Roman" w:hAnsi="Times New Roman"/>
                <w:b/>
                <w:sz w:val="18"/>
                <w:szCs w:val="18"/>
              </w:rPr>
            </w:pPr>
            <w:r w:rsidRPr="001A443A">
              <w:rPr>
                <w:rFonts w:ascii="Times New Roman" w:hAnsi="Times New Roman"/>
                <w:b/>
                <w:i/>
                <w:sz w:val="18"/>
                <w:szCs w:val="18"/>
              </w:rPr>
              <w:t xml:space="preserve">Addendum </w:t>
            </w:r>
            <w:r>
              <w:rPr>
                <w:rFonts w:ascii="Times New Roman" w:hAnsi="Times New Roman"/>
                <w:b/>
                <w:i/>
                <w:sz w:val="18"/>
                <w:szCs w:val="18"/>
              </w:rPr>
              <w:t>15</w:t>
            </w:r>
            <w:r w:rsidRPr="001A443A">
              <w:rPr>
                <w:rFonts w:ascii="Times New Roman" w:hAnsi="Times New Roman"/>
                <w:b/>
                <w:i/>
                <w:sz w:val="18"/>
                <w:szCs w:val="18"/>
              </w:rPr>
              <w:t xml:space="preserve"> </w:t>
            </w:r>
            <w:r>
              <w:rPr>
                <w:rFonts w:ascii="Times New Roman" w:hAnsi="Times New Roman"/>
                <w:b/>
                <w:i/>
                <w:sz w:val="18"/>
                <w:szCs w:val="18"/>
              </w:rPr>
              <w:t>–</w:t>
            </w:r>
            <w:r w:rsidRPr="001A443A">
              <w:rPr>
                <w:rFonts w:ascii="Times New Roman" w:hAnsi="Times New Roman"/>
                <w:b/>
                <w:i/>
                <w:sz w:val="18"/>
                <w:szCs w:val="18"/>
              </w:rPr>
              <w:t xml:space="preserve"> </w:t>
            </w:r>
            <w:r>
              <w:rPr>
                <w:rFonts w:ascii="Times New Roman" w:hAnsi="Times New Roman"/>
                <w:b/>
                <w:i/>
                <w:sz w:val="18"/>
                <w:szCs w:val="18"/>
              </w:rPr>
              <w:t>New Answers</w:t>
            </w:r>
          </w:p>
        </w:tc>
      </w:tr>
      <w:tr w:rsidR="006D2C64" w:rsidRPr="001A443A" w:rsidTr="006D2C64">
        <w:trPr>
          <w:cantSplit/>
          <w:trHeight w:val="359"/>
        </w:trPr>
        <w:tc>
          <w:tcPr>
            <w:tcW w:w="909" w:type="dxa"/>
            <w:tcBorders>
              <w:top w:val="nil"/>
              <w:left w:val="single" w:sz="4" w:space="0" w:color="auto"/>
              <w:bottom w:val="single" w:sz="4" w:space="0" w:color="auto"/>
              <w:right w:val="single" w:sz="4" w:space="0" w:color="auto"/>
            </w:tcBorders>
            <w:shd w:val="clear" w:color="auto" w:fill="B8CCE4" w:themeFill="accent1" w:themeFillTint="66"/>
            <w:hideMark/>
          </w:tcPr>
          <w:p w:rsidR="006D2C64" w:rsidRPr="001A443A" w:rsidRDefault="006D2C64" w:rsidP="00786DD3">
            <w:pPr>
              <w:pStyle w:val="ListParagraph"/>
              <w:tabs>
                <w:tab w:val="left" w:pos="155"/>
              </w:tabs>
              <w:spacing w:before="60" w:after="60"/>
              <w:ind w:left="0"/>
              <w:jc w:val="center"/>
              <w:rPr>
                <w:rFonts w:ascii="Times New Roman" w:hAnsi="Times New Roman"/>
                <w:b/>
                <w:color w:val="000000" w:themeColor="text1"/>
                <w:sz w:val="18"/>
                <w:szCs w:val="18"/>
              </w:rPr>
            </w:pPr>
          </w:p>
        </w:tc>
        <w:tc>
          <w:tcPr>
            <w:tcW w:w="1216"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tabs>
                <w:tab w:val="left" w:pos="1221"/>
              </w:tabs>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461"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996"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6863"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6030"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6D2C64" w:rsidRPr="006D2C64" w:rsidTr="006D2C64">
        <w:trPr>
          <w:cantSplit/>
          <w:trHeight w:val="359"/>
        </w:trPr>
        <w:tc>
          <w:tcPr>
            <w:tcW w:w="9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D2C64" w:rsidRPr="006D2C64" w:rsidRDefault="006D2C64" w:rsidP="006D2C64">
            <w:pPr>
              <w:pStyle w:val="ListParagraph"/>
              <w:tabs>
                <w:tab w:val="left" w:pos="155"/>
              </w:tabs>
              <w:spacing w:before="60" w:after="60"/>
              <w:rPr>
                <w:rFonts w:ascii="Times New Roman" w:hAnsi="Times New Roman"/>
                <w:color w:val="000000" w:themeColor="text1"/>
                <w:sz w:val="18"/>
                <w:szCs w:val="18"/>
              </w:rPr>
            </w:pPr>
            <w:r w:rsidRPr="006D2C64">
              <w:rPr>
                <w:rFonts w:ascii="Times New Roman" w:hAnsi="Times New Roman"/>
                <w:color w:val="000000" w:themeColor="text1"/>
                <w:sz w:val="18"/>
                <w:szCs w:val="18"/>
              </w:rPr>
              <w:t>121</w:t>
            </w:r>
          </w:p>
        </w:tc>
        <w:tc>
          <w:tcPr>
            <w:tcW w:w="1216"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tabs>
                <w:tab w:val="left" w:pos="1221"/>
              </w:tabs>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Questions and Answers – Round 1 Part 3</w:t>
            </w:r>
          </w:p>
        </w:tc>
        <w:tc>
          <w:tcPr>
            <w:tcW w:w="1461"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34</w:t>
            </w:r>
          </w:p>
        </w:tc>
        <w:tc>
          <w:tcPr>
            <w:tcW w:w="996"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 </w:t>
            </w:r>
          </w:p>
        </w:tc>
        <w:tc>
          <w:tcPr>
            <w:tcW w:w="6863"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rPr>
                <w:rFonts w:ascii="Times New Roman" w:hAnsi="Times New Roman"/>
                <w:color w:val="000000" w:themeColor="text1"/>
                <w:sz w:val="18"/>
                <w:szCs w:val="18"/>
              </w:rPr>
            </w:pPr>
            <w:r w:rsidRPr="006D2C64">
              <w:rPr>
                <w:rFonts w:ascii="Times New Roman" w:hAnsi="Times New Roman"/>
                <w:color w:val="000000" w:themeColor="text1"/>
                <w:sz w:val="18"/>
                <w:szCs w:val="18"/>
              </w:rPr>
              <w:t>The Commonwealth’s Microsoft Exchange Enterprise License Agreement may be less expensive than those that may be purchased by an Offeror. To provide greater savings to the Commonwealth, will the Offeror be granted permission to use this or similar Commonwealth ELAs?</w:t>
            </w:r>
          </w:p>
        </w:tc>
        <w:tc>
          <w:tcPr>
            <w:tcW w:w="6030" w:type="dxa"/>
            <w:tcBorders>
              <w:top w:val="single" w:sz="4" w:space="0" w:color="auto"/>
              <w:left w:val="nil"/>
              <w:bottom w:val="single" w:sz="4" w:space="0" w:color="auto"/>
              <w:right w:val="single" w:sz="4" w:space="0" w:color="auto"/>
            </w:tcBorders>
            <w:shd w:val="clear" w:color="auto" w:fill="FFFFFF" w:themeFill="background1"/>
            <w:hideMark/>
          </w:tcPr>
          <w:p w:rsidR="006D2C64" w:rsidRDefault="006D2C64" w:rsidP="006D2C64">
            <w:pPr>
              <w:pStyle w:val="NoSpacing"/>
              <w:spacing w:before="60" w:after="60"/>
              <w:rPr>
                <w:rFonts w:ascii="Times New Roman" w:hAnsi="Times New Roman"/>
                <w:strike/>
                <w:color w:val="FF0000"/>
                <w:sz w:val="18"/>
                <w:szCs w:val="18"/>
              </w:rPr>
            </w:pPr>
            <w:r w:rsidRPr="006D2C64">
              <w:rPr>
                <w:rFonts w:ascii="Times New Roman" w:hAnsi="Times New Roman"/>
                <w:strike/>
                <w:color w:val="FF0000"/>
                <w:sz w:val="18"/>
                <w:szCs w:val="18"/>
              </w:rPr>
              <w:t xml:space="preserve">For the purpose of submitting a proposal, Offerors should assume they will not be permitted to use the Commonwealth's Microsoft Exchange Enterprise License Agreement.  </w:t>
            </w:r>
          </w:p>
          <w:p w:rsidR="006D2C64" w:rsidRDefault="006D2C64" w:rsidP="006D2C64">
            <w:pPr>
              <w:pStyle w:val="NoSpacing"/>
              <w:spacing w:before="60" w:after="60"/>
              <w:rPr>
                <w:rFonts w:ascii="Times New Roman" w:hAnsi="Times New Roman"/>
                <w:strike/>
                <w:color w:val="FF0000"/>
                <w:sz w:val="18"/>
                <w:szCs w:val="18"/>
              </w:rPr>
            </w:pPr>
          </w:p>
          <w:p w:rsidR="006D2C64" w:rsidRPr="00C931D0" w:rsidRDefault="006D2C64" w:rsidP="006D2C64">
            <w:pPr>
              <w:rPr>
                <w:rFonts w:eastAsia="Times New Roman"/>
                <w:b/>
                <w:bCs/>
                <w:sz w:val="18"/>
                <w:szCs w:val="18"/>
              </w:rPr>
            </w:pPr>
            <w:r w:rsidRPr="00C931D0">
              <w:rPr>
                <w:rFonts w:eastAsia="Times New Roman"/>
                <w:b/>
                <w:bCs/>
                <w:sz w:val="18"/>
                <w:szCs w:val="18"/>
              </w:rPr>
              <w:t>Revised Answer:</w:t>
            </w:r>
          </w:p>
          <w:p w:rsidR="006D2C64" w:rsidRPr="006D2C64" w:rsidRDefault="006D2C64" w:rsidP="006D2C64">
            <w:pPr>
              <w:pStyle w:val="NoSpacing"/>
              <w:spacing w:before="60" w:after="60"/>
              <w:rPr>
                <w:rFonts w:ascii="Times New Roman" w:hAnsi="Times New Roman"/>
                <w:strike/>
                <w:color w:val="FF0000"/>
                <w:sz w:val="18"/>
                <w:szCs w:val="18"/>
              </w:rPr>
            </w:pPr>
            <w:r w:rsidRPr="0015020A">
              <w:rPr>
                <w:rFonts w:ascii="Times New Roman" w:hAnsi="Times New Roman"/>
                <w:color w:val="000000" w:themeColor="text1"/>
                <w:sz w:val="18"/>
                <w:szCs w:val="18"/>
              </w:rPr>
              <w:t>Exchange as a Service has been removed from this RFP.  Schedule F, I, J.2 and J.3 have been revised to remove exchange as a service.</w:t>
            </w:r>
          </w:p>
        </w:tc>
      </w:tr>
    </w:tbl>
    <w:p w:rsidR="0015020A" w:rsidRDefault="0015020A" w:rsidP="00003895">
      <w:pPr>
        <w:pStyle w:val="NoSpacing"/>
        <w:rPr>
          <w:rFonts w:ascii="Times New Roman" w:hAnsi="Times New Roman"/>
          <w:color w:val="000000" w:themeColor="text1"/>
          <w:sz w:val="18"/>
          <w:szCs w:val="18"/>
        </w:rPr>
      </w:pPr>
    </w:p>
    <w:p w:rsidR="0015020A" w:rsidRDefault="0015020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p w:rsidR="00EE45CA" w:rsidRDefault="00EE45CA" w:rsidP="00003895">
      <w:pPr>
        <w:pStyle w:val="NoSpacing"/>
        <w:rPr>
          <w:rFonts w:ascii="Times New Roman" w:hAnsi="Times New Roman"/>
          <w:color w:val="000000" w:themeColor="text1"/>
          <w:sz w:val="18"/>
          <w:szCs w:val="18"/>
        </w:rPr>
      </w:pPr>
    </w:p>
    <w:tbl>
      <w:tblPr>
        <w:tblW w:w="17475" w:type="dxa"/>
        <w:tblInd w:w="93" w:type="dxa"/>
        <w:tblLook w:val="04A0"/>
      </w:tblPr>
      <w:tblGrid>
        <w:gridCol w:w="1027"/>
        <w:gridCol w:w="1213"/>
        <w:gridCol w:w="1451"/>
        <w:gridCol w:w="990"/>
        <w:gridCol w:w="6810"/>
        <w:gridCol w:w="5984"/>
      </w:tblGrid>
      <w:tr w:rsidR="006D2C64" w:rsidRPr="001A443A" w:rsidTr="00786DD3">
        <w:trPr>
          <w:cantSplit/>
          <w:trHeight w:val="369"/>
        </w:trPr>
        <w:tc>
          <w:tcPr>
            <w:tcW w:w="17475" w:type="dxa"/>
            <w:gridSpan w:val="6"/>
            <w:tcBorders>
              <w:top w:val="nil"/>
              <w:left w:val="single" w:sz="4" w:space="0" w:color="auto"/>
              <w:bottom w:val="single" w:sz="4" w:space="0" w:color="auto"/>
              <w:right w:val="single" w:sz="4" w:space="0" w:color="auto"/>
            </w:tcBorders>
            <w:shd w:val="clear" w:color="auto" w:fill="B8CCE4" w:themeFill="accent1" w:themeFillTint="66"/>
            <w:hideMark/>
          </w:tcPr>
          <w:p w:rsidR="006D2C64" w:rsidRPr="001A443A" w:rsidRDefault="006D2C64" w:rsidP="006D2C64">
            <w:pPr>
              <w:pStyle w:val="NoSpacing"/>
              <w:spacing w:before="60" w:after="60"/>
              <w:rPr>
                <w:rFonts w:ascii="Times New Roman" w:hAnsi="Times New Roman"/>
                <w:b/>
                <w:sz w:val="18"/>
                <w:szCs w:val="18"/>
              </w:rPr>
            </w:pPr>
            <w:r w:rsidRPr="001A443A">
              <w:rPr>
                <w:rFonts w:ascii="Times New Roman" w:hAnsi="Times New Roman"/>
                <w:b/>
                <w:i/>
                <w:sz w:val="18"/>
                <w:szCs w:val="18"/>
              </w:rPr>
              <w:t xml:space="preserve">Addendum </w:t>
            </w:r>
            <w:r>
              <w:rPr>
                <w:rFonts w:ascii="Times New Roman" w:hAnsi="Times New Roman"/>
                <w:b/>
                <w:i/>
                <w:sz w:val="18"/>
                <w:szCs w:val="18"/>
              </w:rPr>
              <w:t>9</w:t>
            </w:r>
            <w:r w:rsidRPr="001A443A">
              <w:rPr>
                <w:rFonts w:ascii="Times New Roman" w:hAnsi="Times New Roman"/>
                <w:b/>
                <w:i/>
                <w:sz w:val="18"/>
                <w:szCs w:val="18"/>
              </w:rPr>
              <w:t xml:space="preserve"> - Round 1, Part </w:t>
            </w:r>
            <w:r>
              <w:rPr>
                <w:rFonts w:ascii="Times New Roman" w:hAnsi="Times New Roman"/>
                <w:b/>
                <w:i/>
                <w:sz w:val="18"/>
                <w:szCs w:val="18"/>
              </w:rPr>
              <w:t>5</w:t>
            </w:r>
          </w:p>
        </w:tc>
      </w:tr>
      <w:tr w:rsidR="006D2C64" w:rsidRPr="001A443A" w:rsidTr="006D2C64">
        <w:trPr>
          <w:cantSplit/>
          <w:trHeight w:val="359"/>
        </w:trPr>
        <w:tc>
          <w:tcPr>
            <w:tcW w:w="909" w:type="dxa"/>
            <w:tcBorders>
              <w:top w:val="nil"/>
              <w:left w:val="single" w:sz="4" w:space="0" w:color="auto"/>
              <w:bottom w:val="single" w:sz="4" w:space="0" w:color="auto"/>
              <w:right w:val="single" w:sz="4" w:space="0" w:color="auto"/>
            </w:tcBorders>
            <w:shd w:val="clear" w:color="auto" w:fill="B8CCE4" w:themeFill="accent1" w:themeFillTint="66"/>
            <w:hideMark/>
          </w:tcPr>
          <w:p w:rsidR="006D2C64" w:rsidRPr="001A443A" w:rsidRDefault="006D2C64" w:rsidP="00786DD3">
            <w:pPr>
              <w:pStyle w:val="ListParagraph"/>
              <w:tabs>
                <w:tab w:val="left" w:pos="155"/>
              </w:tabs>
              <w:spacing w:before="60" w:after="60"/>
              <w:ind w:left="0"/>
              <w:jc w:val="center"/>
              <w:rPr>
                <w:rFonts w:ascii="Times New Roman" w:hAnsi="Times New Roman"/>
                <w:b/>
                <w:color w:val="000000" w:themeColor="text1"/>
                <w:sz w:val="18"/>
                <w:szCs w:val="18"/>
              </w:rPr>
            </w:pPr>
          </w:p>
        </w:tc>
        <w:tc>
          <w:tcPr>
            <w:tcW w:w="1216"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tabs>
                <w:tab w:val="left" w:pos="1221"/>
              </w:tabs>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Doc</w:t>
            </w:r>
          </w:p>
        </w:tc>
        <w:tc>
          <w:tcPr>
            <w:tcW w:w="1461"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Sec</w:t>
            </w:r>
          </w:p>
        </w:tc>
        <w:tc>
          <w:tcPr>
            <w:tcW w:w="996"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jc w:val="center"/>
              <w:rPr>
                <w:rFonts w:ascii="Times New Roman" w:hAnsi="Times New Roman"/>
                <w:b/>
                <w:color w:val="000000" w:themeColor="text1"/>
                <w:sz w:val="18"/>
                <w:szCs w:val="18"/>
              </w:rPr>
            </w:pPr>
            <w:r w:rsidRPr="001A443A">
              <w:rPr>
                <w:rFonts w:ascii="Times New Roman" w:hAnsi="Times New Roman"/>
                <w:b/>
                <w:color w:val="000000" w:themeColor="text1"/>
                <w:sz w:val="18"/>
                <w:szCs w:val="18"/>
              </w:rPr>
              <w:t>Pg</w:t>
            </w:r>
          </w:p>
        </w:tc>
        <w:tc>
          <w:tcPr>
            <w:tcW w:w="6863"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rPr>
                <w:rFonts w:ascii="Times New Roman" w:hAnsi="Times New Roman"/>
                <w:b/>
                <w:color w:val="000000" w:themeColor="text1"/>
                <w:sz w:val="18"/>
                <w:szCs w:val="18"/>
              </w:rPr>
            </w:pPr>
            <w:r w:rsidRPr="001A443A">
              <w:rPr>
                <w:rFonts w:ascii="Times New Roman" w:hAnsi="Times New Roman"/>
                <w:b/>
                <w:color w:val="000000" w:themeColor="text1"/>
                <w:sz w:val="18"/>
                <w:szCs w:val="18"/>
              </w:rPr>
              <w:t>Question</w:t>
            </w:r>
          </w:p>
        </w:tc>
        <w:tc>
          <w:tcPr>
            <w:tcW w:w="6030" w:type="dxa"/>
            <w:tcBorders>
              <w:top w:val="nil"/>
              <w:left w:val="nil"/>
              <w:bottom w:val="single" w:sz="4" w:space="0" w:color="auto"/>
              <w:right w:val="single" w:sz="4" w:space="0" w:color="auto"/>
            </w:tcBorders>
            <w:shd w:val="clear" w:color="auto" w:fill="B8CCE4" w:themeFill="accent1" w:themeFillTint="66"/>
            <w:hideMark/>
          </w:tcPr>
          <w:p w:rsidR="006D2C64" w:rsidRPr="001A443A" w:rsidRDefault="006D2C64" w:rsidP="00786DD3">
            <w:pPr>
              <w:pStyle w:val="NoSpacing"/>
              <w:spacing w:before="60" w:after="60"/>
              <w:rPr>
                <w:rFonts w:ascii="Times New Roman" w:hAnsi="Times New Roman"/>
                <w:b/>
                <w:sz w:val="18"/>
                <w:szCs w:val="18"/>
              </w:rPr>
            </w:pPr>
            <w:r w:rsidRPr="001A443A">
              <w:rPr>
                <w:rFonts w:ascii="Times New Roman" w:hAnsi="Times New Roman"/>
                <w:b/>
                <w:sz w:val="18"/>
                <w:szCs w:val="18"/>
              </w:rPr>
              <w:t>Answer</w:t>
            </w:r>
          </w:p>
        </w:tc>
      </w:tr>
      <w:tr w:rsidR="006D2C64" w:rsidRPr="008A1635" w:rsidTr="006D2C64">
        <w:trPr>
          <w:cantSplit/>
          <w:trHeight w:val="359"/>
        </w:trPr>
        <w:tc>
          <w:tcPr>
            <w:tcW w:w="9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D2C64" w:rsidRPr="006D2C64" w:rsidRDefault="006D2C64" w:rsidP="006D2C64">
            <w:pPr>
              <w:pStyle w:val="ListParagraph"/>
              <w:tabs>
                <w:tab w:val="left" w:pos="155"/>
              </w:tabs>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9</w:t>
            </w:r>
          </w:p>
        </w:tc>
        <w:tc>
          <w:tcPr>
            <w:tcW w:w="1216"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tabs>
                <w:tab w:val="left" w:pos="1221"/>
              </w:tabs>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Appendix A</w:t>
            </w:r>
          </w:p>
        </w:tc>
        <w:tc>
          <w:tcPr>
            <w:tcW w:w="1461"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11 (b) (2)</w:t>
            </w:r>
          </w:p>
        </w:tc>
        <w:tc>
          <w:tcPr>
            <w:tcW w:w="996"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jc w:val="center"/>
              <w:rPr>
                <w:rFonts w:ascii="Times New Roman" w:hAnsi="Times New Roman"/>
                <w:color w:val="000000" w:themeColor="text1"/>
                <w:sz w:val="18"/>
                <w:szCs w:val="18"/>
              </w:rPr>
            </w:pPr>
            <w:r w:rsidRPr="006D2C64">
              <w:rPr>
                <w:rFonts w:ascii="Times New Roman" w:hAnsi="Times New Roman"/>
                <w:color w:val="000000" w:themeColor="text1"/>
                <w:sz w:val="18"/>
                <w:szCs w:val="18"/>
              </w:rPr>
              <w:t>13</w:t>
            </w:r>
          </w:p>
        </w:tc>
        <w:tc>
          <w:tcPr>
            <w:tcW w:w="6863" w:type="dxa"/>
            <w:tcBorders>
              <w:top w:val="single" w:sz="4" w:space="0" w:color="auto"/>
              <w:left w:val="nil"/>
              <w:bottom w:val="single" w:sz="4" w:space="0" w:color="auto"/>
              <w:right w:val="single" w:sz="4" w:space="0" w:color="auto"/>
            </w:tcBorders>
            <w:shd w:val="clear" w:color="auto" w:fill="FFFFFF" w:themeFill="background1"/>
            <w:hideMark/>
          </w:tcPr>
          <w:p w:rsidR="006D2C64" w:rsidRPr="006D2C64" w:rsidRDefault="006D2C64" w:rsidP="006D2C64">
            <w:pPr>
              <w:pStyle w:val="NoSpacing"/>
              <w:spacing w:before="60" w:after="60"/>
              <w:rPr>
                <w:rFonts w:ascii="Times New Roman" w:hAnsi="Times New Roman"/>
                <w:color w:val="000000" w:themeColor="text1"/>
                <w:sz w:val="18"/>
                <w:szCs w:val="18"/>
              </w:rPr>
            </w:pPr>
            <w:r w:rsidRPr="006D2C64">
              <w:rPr>
                <w:rFonts w:ascii="Times New Roman" w:hAnsi="Times New Roman"/>
                <w:color w:val="000000" w:themeColor="text1"/>
                <w:sz w:val="18"/>
                <w:szCs w:val="18"/>
              </w:rPr>
              <w:t>Certification specified in this section are those held by individuals rather than the organization. What is the Commonwealth's requirement for quantity of professionals holding those certifications?</w:t>
            </w:r>
          </w:p>
        </w:tc>
        <w:tc>
          <w:tcPr>
            <w:tcW w:w="6030" w:type="dxa"/>
            <w:tcBorders>
              <w:top w:val="single" w:sz="4" w:space="0" w:color="auto"/>
              <w:left w:val="nil"/>
              <w:bottom w:val="single" w:sz="4" w:space="0" w:color="auto"/>
              <w:right w:val="single" w:sz="4" w:space="0" w:color="auto"/>
            </w:tcBorders>
            <w:shd w:val="clear" w:color="auto" w:fill="FFFFFF" w:themeFill="background1"/>
            <w:hideMark/>
          </w:tcPr>
          <w:p w:rsidR="006D2C64" w:rsidRDefault="006D2C64" w:rsidP="006D2C64">
            <w:pPr>
              <w:pStyle w:val="NoSpacing"/>
              <w:spacing w:before="60" w:after="60"/>
              <w:rPr>
                <w:rFonts w:ascii="Times New Roman" w:hAnsi="Times New Roman"/>
                <w:strike/>
                <w:color w:val="FF0000"/>
                <w:sz w:val="18"/>
                <w:szCs w:val="18"/>
              </w:rPr>
            </w:pPr>
            <w:r w:rsidRPr="006D2C64">
              <w:rPr>
                <w:rFonts w:ascii="Times New Roman" w:hAnsi="Times New Roman"/>
                <w:strike/>
                <w:color w:val="FF0000"/>
                <w:sz w:val="18"/>
                <w:szCs w:val="18"/>
              </w:rPr>
              <w:t>At a minimum, the Chief Information Security Officer (CISO) provided by the Offeror must maintain current security certifications as stated in referenced section of Appendix A.  The Commonwealth has not defined the number of individuals that must hold the referenced certifications.   Offerors should propose their best solutions.</w:t>
            </w:r>
          </w:p>
          <w:p w:rsidR="006D2C64" w:rsidRDefault="006D2C64" w:rsidP="006D2C64">
            <w:pPr>
              <w:pStyle w:val="NoSpacing"/>
              <w:spacing w:before="60" w:after="60"/>
              <w:rPr>
                <w:rFonts w:ascii="Times New Roman" w:hAnsi="Times New Roman"/>
                <w:strike/>
                <w:color w:val="FF0000"/>
                <w:sz w:val="18"/>
                <w:szCs w:val="18"/>
              </w:rPr>
            </w:pPr>
          </w:p>
          <w:p w:rsidR="006D2C64" w:rsidRPr="00C931D0" w:rsidRDefault="006D2C64" w:rsidP="006D2C64">
            <w:pPr>
              <w:rPr>
                <w:rFonts w:eastAsia="Times New Roman"/>
                <w:b/>
                <w:bCs/>
                <w:sz w:val="18"/>
                <w:szCs w:val="18"/>
              </w:rPr>
            </w:pPr>
            <w:r w:rsidRPr="00C931D0">
              <w:rPr>
                <w:rFonts w:eastAsia="Times New Roman"/>
                <w:b/>
                <w:bCs/>
                <w:sz w:val="18"/>
                <w:szCs w:val="18"/>
              </w:rPr>
              <w:t>Revised Answer:</w:t>
            </w:r>
          </w:p>
          <w:p w:rsidR="006D2C64" w:rsidRPr="006D2C64" w:rsidRDefault="006D2C64" w:rsidP="006D2C64">
            <w:pPr>
              <w:pStyle w:val="NoSpacing"/>
              <w:spacing w:before="60" w:after="60"/>
              <w:rPr>
                <w:rFonts w:ascii="Times New Roman" w:hAnsi="Times New Roman"/>
                <w:color w:val="000000" w:themeColor="text1"/>
                <w:sz w:val="18"/>
                <w:szCs w:val="18"/>
              </w:rPr>
            </w:pPr>
            <w:r w:rsidRPr="006D2C64">
              <w:rPr>
                <w:rFonts w:ascii="Times New Roman" w:hAnsi="Times New Roman"/>
                <w:color w:val="000000" w:themeColor="text1"/>
                <w:sz w:val="18"/>
                <w:szCs w:val="18"/>
              </w:rPr>
              <w:t>At a minimum, the Security Manager provided by the Offeror must maintain current security certifications as stated in referenced section of Appendix A.  The Commonwealth has not defined the number of individuals that must hold the referenced certifications.   Offerors should propose their best solutions.</w:t>
            </w:r>
          </w:p>
        </w:tc>
      </w:tr>
    </w:tbl>
    <w:p w:rsidR="0015020A" w:rsidRDefault="0015020A" w:rsidP="00003895">
      <w:pPr>
        <w:pStyle w:val="NoSpacing"/>
        <w:rPr>
          <w:rFonts w:ascii="Times New Roman" w:hAnsi="Times New Roman"/>
          <w:color w:val="000000" w:themeColor="text1"/>
          <w:sz w:val="18"/>
          <w:szCs w:val="18"/>
        </w:rPr>
      </w:pPr>
    </w:p>
    <w:p w:rsidR="00182FE3" w:rsidRDefault="00182FE3" w:rsidP="00003895">
      <w:pPr>
        <w:pStyle w:val="NoSpacing"/>
        <w:rPr>
          <w:rFonts w:ascii="Times New Roman" w:hAnsi="Times New Roman"/>
          <w:color w:val="000000" w:themeColor="text1"/>
          <w:sz w:val="18"/>
          <w:szCs w:val="18"/>
        </w:rPr>
      </w:pPr>
    </w:p>
    <w:p w:rsidR="00182FE3" w:rsidRDefault="00182FE3" w:rsidP="00182FE3">
      <w:pPr>
        <w:pStyle w:val="NoSpacing"/>
        <w:rPr>
          <w:rFonts w:ascii="Times New Roman" w:hAnsi="Times New Roman"/>
          <w:color w:val="000000" w:themeColor="text1"/>
          <w:sz w:val="18"/>
          <w:szCs w:val="18"/>
        </w:rPr>
      </w:pPr>
    </w:p>
    <w:p w:rsidR="00182FE3" w:rsidRDefault="00182FE3" w:rsidP="00182FE3">
      <w:pPr>
        <w:rPr>
          <w:b/>
          <w:i/>
        </w:rPr>
      </w:pPr>
      <w:r>
        <w:rPr>
          <w:b/>
          <w:i/>
        </w:rPr>
        <w:t>New Answers</w:t>
      </w:r>
    </w:p>
    <w:tbl>
      <w:tblPr>
        <w:tblW w:w="16883" w:type="dxa"/>
        <w:tblInd w:w="103" w:type="dxa"/>
        <w:tblLook w:val="04A0"/>
      </w:tblPr>
      <w:tblGrid>
        <w:gridCol w:w="680"/>
        <w:gridCol w:w="1387"/>
        <w:gridCol w:w="1407"/>
        <w:gridCol w:w="1381"/>
        <w:gridCol w:w="5513"/>
        <w:gridCol w:w="6515"/>
      </w:tblGrid>
      <w:tr w:rsidR="00EE45CA" w:rsidRPr="00440359" w:rsidTr="00EE45CA">
        <w:trPr>
          <w:trHeight w:val="240"/>
          <w:tblHeader/>
        </w:trPr>
        <w:tc>
          <w:tcPr>
            <w:tcW w:w="16883" w:type="dxa"/>
            <w:gridSpan w:val="6"/>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hideMark/>
          </w:tcPr>
          <w:p w:rsidR="00EE45CA" w:rsidRPr="00440359" w:rsidRDefault="00EE45CA" w:rsidP="00EE45CA">
            <w:pPr>
              <w:rPr>
                <w:b/>
                <w:i/>
              </w:rPr>
            </w:pPr>
            <w:r w:rsidRPr="00440359">
              <w:rPr>
                <w:b/>
                <w:i/>
              </w:rPr>
              <w:t>Addendum 16 – New Answers</w:t>
            </w:r>
          </w:p>
        </w:tc>
      </w:tr>
      <w:tr w:rsidR="00182FE3" w:rsidRPr="00440359" w:rsidTr="00EE45CA">
        <w:trPr>
          <w:trHeight w:val="240"/>
          <w:tblHeader/>
        </w:trPr>
        <w:tc>
          <w:tcPr>
            <w:tcW w:w="680"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hideMark/>
          </w:tcPr>
          <w:p w:rsidR="00182FE3" w:rsidRPr="00440359" w:rsidRDefault="00182FE3" w:rsidP="00182FE3">
            <w:pPr>
              <w:jc w:val="center"/>
              <w:rPr>
                <w:rFonts w:ascii="Arial" w:eastAsia="Times New Roman" w:hAnsi="Arial" w:cs="Arial"/>
                <w:b/>
                <w:bCs/>
                <w:sz w:val="18"/>
                <w:szCs w:val="18"/>
              </w:rPr>
            </w:pPr>
          </w:p>
        </w:tc>
        <w:tc>
          <w:tcPr>
            <w:tcW w:w="1387" w:type="dxa"/>
            <w:tcBorders>
              <w:top w:val="single" w:sz="4" w:space="0" w:color="auto"/>
              <w:left w:val="nil"/>
              <w:bottom w:val="single" w:sz="4" w:space="0" w:color="auto"/>
              <w:right w:val="single" w:sz="4" w:space="0" w:color="auto"/>
            </w:tcBorders>
            <w:shd w:val="clear" w:color="auto" w:fill="95B3D7" w:themeFill="accent1" w:themeFillTint="99"/>
            <w:vAlign w:val="center"/>
            <w:hideMark/>
          </w:tcPr>
          <w:p w:rsidR="00182FE3" w:rsidRPr="00440359" w:rsidRDefault="00182FE3" w:rsidP="00182FE3">
            <w:pPr>
              <w:jc w:val="center"/>
              <w:rPr>
                <w:rFonts w:ascii="Arial" w:eastAsia="Times New Roman" w:hAnsi="Arial" w:cs="Arial"/>
                <w:b/>
                <w:bCs/>
                <w:sz w:val="18"/>
                <w:szCs w:val="18"/>
              </w:rPr>
            </w:pPr>
            <w:r w:rsidRPr="00440359">
              <w:rPr>
                <w:rFonts w:ascii="Arial" w:eastAsia="Times New Roman" w:hAnsi="Arial" w:cs="Arial"/>
                <w:b/>
                <w:bCs/>
                <w:sz w:val="18"/>
                <w:szCs w:val="18"/>
              </w:rPr>
              <w:t>Doc</w:t>
            </w:r>
          </w:p>
        </w:tc>
        <w:tc>
          <w:tcPr>
            <w:tcW w:w="1407" w:type="dxa"/>
            <w:tcBorders>
              <w:top w:val="single" w:sz="4" w:space="0" w:color="auto"/>
              <w:left w:val="nil"/>
              <w:bottom w:val="single" w:sz="4" w:space="0" w:color="auto"/>
              <w:right w:val="single" w:sz="4" w:space="0" w:color="auto"/>
            </w:tcBorders>
            <w:shd w:val="clear" w:color="auto" w:fill="95B3D7" w:themeFill="accent1" w:themeFillTint="99"/>
            <w:vAlign w:val="center"/>
            <w:hideMark/>
          </w:tcPr>
          <w:p w:rsidR="00182FE3" w:rsidRPr="00440359" w:rsidRDefault="00182FE3" w:rsidP="00182FE3">
            <w:pPr>
              <w:jc w:val="center"/>
              <w:rPr>
                <w:rFonts w:ascii="Arial" w:eastAsia="Times New Roman" w:hAnsi="Arial" w:cs="Arial"/>
                <w:b/>
                <w:bCs/>
                <w:sz w:val="18"/>
                <w:szCs w:val="18"/>
              </w:rPr>
            </w:pPr>
            <w:r w:rsidRPr="00440359">
              <w:rPr>
                <w:rFonts w:ascii="Arial" w:eastAsia="Times New Roman" w:hAnsi="Arial" w:cs="Arial"/>
                <w:b/>
                <w:bCs/>
                <w:sz w:val="18"/>
                <w:szCs w:val="18"/>
              </w:rPr>
              <w:t>Sec</w:t>
            </w:r>
          </w:p>
        </w:tc>
        <w:tc>
          <w:tcPr>
            <w:tcW w:w="1381" w:type="dxa"/>
            <w:tcBorders>
              <w:top w:val="single" w:sz="4" w:space="0" w:color="auto"/>
              <w:left w:val="nil"/>
              <w:bottom w:val="single" w:sz="4" w:space="0" w:color="auto"/>
              <w:right w:val="single" w:sz="4" w:space="0" w:color="auto"/>
            </w:tcBorders>
            <w:shd w:val="clear" w:color="auto" w:fill="95B3D7" w:themeFill="accent1" w:themeFillTint="99"/>
            <w:noWrap/>
            <w:vAlign w:val="center"/>
            <w:hideMark/>
          </w:tcPr>
          <w:p w:rsidR="00182FE3" w:rsidRPr="00440359" w:rsidRDefault="00182FE3" w:rsidP="00182FE3">
            <w:pPr>
              <w:jc w:val="center"/>
              <w:rPr>
                <w:rFonts w:ascii="Arial" w:eastAsia="Times New Roman" w:hAnsi="Arial" w:cs="Arial"/>
                <w:b/>
                <w:bCs/>
                <w:sz w:val="18"/>
                <w:szCs w:val="18"/>
              </w:rPr>
            </w:pPr>
            <w:r w:rsidRPr="00440359">
              <w:rPr>
                <w:rFonts w:ascii="Arial" w:eastAsia="Times New Roman" w:hAnsi="Arial" w:cs="Arial"/>
                <w:b/>
                <w:bCs/>
                <w:sz w:val="18"/>
                <w:szCs w:val="18"/>
              </w:rPr>
              <w:t>Pg</w:t>
            </w:r>
          </w:p>
        </w:tc>
        <w:tc>
          <w:tcPr>
            <w:tcW w:w="5513" w:type="dxa"/>
            <w:tcBorders>
              <w:top w:val="single" w:sz="4" w:space="0" w:color="auto"/>
              <w:left w:val="nil"/>
              <w:bottom w:val="single" w:sz="4" w:space="0" w:color="auto"/>
              <w:right w:val="single" w:sz="4" w:space="0" w:color="auto"/>
            </w:tcBorders>
            <w:shd w:val="clear" w:color="auto" w:fill="95B3D7" w:themeFill="accent1" w:themeFillTint="99"/>
            <w:hideMark/>
          </w:tcPr>
          <w:p w:rsidR="00182FE3" w:rsidRPr="00440359" w:rsidRDefault="00182FE3" w:rsidP="00182FE3">
            <w:pPr>
              <w:rPr>
                <w:rFonts w:ascii="Arial" w:eastAsia="Times New Roman" w:hAnsi="Arial" w:cs="Arial"/>
                <w:b/>
                <w:bCs/>
                <w:sz w:val="18"/>
                <w:szCs w:val="18"/>
              </w:rPr>
            </w:pPr>
            <w:r w:rsidRPr="00440359">
              <w:rPr>
                <w:rFonts w:ascii="Arial" w:eastAsia="Times New Roman" w:hAnsi="Arial" w:cs="Arial"/>
                <w:b/>
                <w:bCs/>
                <w:sz w:val="18"/>
                <w:szCs w:val="18"/>
              </w:rPr>
              <w:t>Question</w:t>
            </w:r>
          </w:p>
        </w:tc>
        <w:tc>
          <w:tcPr>
            <w:tcW w:w="6515" w:type="dxa"/>
            <w:tcBorders>
              <w:top w:val="single" w:sz="4" w:space="0" w:color="auto"/>
              <w:left w:val="nil"/>
              <w:bottom w:val="single" w:sz="4" w:space="0" w:color="auto"/>
              <w:right w:val="single" w:sz="4" w:space="0" w:color="auto"/>
            </w:tcBorders>
            <w:shd w:val="clear" w:color="auto" w:fill="95B3D7" w:themeFill="accent1" w:themeFillTint="99"/>
            <w:hideMark/>
          </w:tcPr>
          <w:p w:rsidR="00182FE3" w:rsidRPr="00440359" w:rsidRDefault="00182FE3" w:rsidP="00182FE3">
            <w:pPr>
              <w:rPr>
                <w:rFonts w:ascii="Arial" w:eastAsia="Times New Roman" w:hAnsi="Arial" w:cs="Arial"/>
                <w:b/>
                <w:bCs/>
                <w:sz w:val="18"/>
                <w:szCs w:val="18"/>
              </w:rPr>
            </w:pPr>
            <w:r w:rsidRPr="00440359">
              <w:rPr>
                <w:rFonts w:ascii="Arial" w:eastAsia="Times New Roman" w:hAnsi="Arial" w:cs="Arial"/>
                <w:b/>
                <w:bCs/>
                <w:sz w:val="18"/>
                <w:szCs w:val="18"/>
              </w:rPr>
              <w:t>Answer</w:t>
            </w:r>
          </w:p>
        </w:tc>
      </w:tr>
      <w:tr w:rsidR="00182FE3" w:rsidRPr="00440359" w:rsidTr="00EE45CA">
        <w:trPr>
          <w:trHeight w:val="22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4229EA" w:rsidP="00182FE3">
            <w:pPr>
              <w:jc w:val="center"/>
              <w:rPr>
                <w:rFonts w:ascii="Arial" w:eastAsia="Times New Roman" w:hAnsi="Arial" w:cs="Arial"/>
                <w:sz w:val="18"/>
                <w:szCs w:val="18"/>
              </w:rPr>
            </w:pPr>
            <w:r w:rsidRPr="00440359">
              <w:rPr>
                <w:rFonts w:ascii="Arial" w:eastAsia="Times New Roman" w:hAnsi="Arial" w:cs="Arial"/>
                <w:sz w:val="18"/>
                <w:szCs w:val="18"/>
              </w:rPr>
              <w:t>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 I-12 and II-8</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In Sections I-12 and II-8 of Datacenter Computing Services RFP # 6100022698 (the “RFP”) and in its responses to questions 10 and 11 of the RFP Questions and Answers, Round 1, Part 2, the Commonwealth makes clear that (1) offerors must be prepared to enter into a contract with the Commonwealth strictly on the basis of the terms and conditions contained in RFP Appendix A, and (2) while the Commonwealth may consider requested exceptions, the formation of a binding contract is not contingent upon the negotiation of mutually agreeable terms and conditions.  In order for the Commonwealth to obtain the most cost-competitive and responsive proposals, we respectfully request that the Commonwealth amend the RFP as follows: “Notwithstanding anything to the contrary, the formation of a binding contract resulting from the RFP is contingent upon the negotiation of mutually agreeable terms and conditions between the Commonwealth and the successful Offeror following the Commonwealth’s notice of award.”</w:t>
            </w:r>
            <w:r w:rsidRPr="00440359">
              <w:rPr>
                <w:rFonts w:ascii="Arial" w:eastAsia="Times New Roman" w:hAnsi="Arial" w:cs="Arial"/>
                <w:sz w:val="18"/>
                <w:szCs w:val="18"/>
              </w:rPr>
              <w:br/>
            </w:r>
            <w:r w:rsidRPr="00440359">
              <w:rPr>
                <w:rFonts w:ascii="Arial" w:eastAsia="Times New Roman" w:hAnsi="Arial" w:cs="Arial"/>
                <w:sz w:val="18"/>
                <w:szCs w:val="18"/>
              </w:rPr>
              <w:br/>
              <w:t xml:space="preserve">We believe the Commonwealth’s position that vendors must submit a proposal without the assurance of post-award negotiations may not result in a contract that provides the Commonwealth the greatest value, and for an opportunity of this size and complexity is not typical in the technology services industry or in the Commonwealth’s past procurements.  In our experience, meaningful and efficient negotiations are essential and desirable for aligning risk, cost and delivery expectations between the parties in a large and complex infrastructure technology outsourcing arrangement. By modifying its existing position, the Commonwealth will benefit by ensuring the following desired outcomes, including (1) competition from all major vendors with deep experience in infrastructure technology outsourcing, (2) preferred pricing corresponding to the balanced allocation of risk in the proposed terms and conditions, and (3) unconditional offers from vendors who may be willing to accept disproportionate risk for a single engagement because they have limited assets at risk.  The Commonwealth has an interest in fostering robust competition from those vendors in the technology services industry who can be trusted with the Commonwealth’s most sensitive data and technology infrastructure.  However, as a partner that wants to ensure we negotiate a contract that provides the greatest value for the Commonwealth and allows us to also appropriately manage the risks, we need the opportunity, and not merely the possibility – to negotiate mutually agreeable exceptions before making substantial contractual commitments.  </w:t>
            </w:r>
            <w:r w:rsidRPr="00440359">
              <w:rPr>
                <w:rFonts w:ascii="Arial" w:eastAsia="Times New Roman" w:hAnsi="Arial" w:cs="Arial"/>
                <w:sz w:val="18"/>
                <w:szCs w:val="18"/>
              </w:rPr>
              <w:br/>
            </w:r>
            <w:r w:rsidRPr="00440359">
              <w:rPr>
                <w:rFonts w:ascii="Arial" w:eastAsia="Times New Roman" w:hAnsi="Arial" w:cs="Arial"/>
                <w:sz w:val="18"/>
                <w:szCs w:val="18"/>
              </w:rPr>
              <w:br/>
              <w:t>Thank you in advance for your consideration, and for responding to this request as soon as possible.  We appreciate the opportunity to continue to be a strategic partner to the Commonwealth, and we are confident our response to the RFP would provide world-class technology services to the Commonwealth and its citizens.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Commonwealth will not amend the RFP as requested.</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4229EA" w:rsidP="00182FE3">
            <w:pPr>
              <w:jc w:val="center"/>
              <w:rPr>
                <w:rFonts w:ascii="Arial" w:eastAsia="Times New Roman" w:hAnsi="Arial" w:cs="Arial"/>
                <w:sz w:val="18"/>
                <w:szCs w:val="18"/>
              </w:rPr>
            </w:pPr>
            <w:r w:rsidRPr="00440359">
              <w:rPr>
                <w:rFonts w:ascii="Arial" w:eastAsia="Times New Roman" w:hAnsi="Arial" w:cs="Arial"/>
                <w:sz w:val="18"/>
                <w:szCs w:val="18"/>
              </w:rPr>
              <w:t>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 Datacenter Statement of Work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2.3.1</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Should the Offeror assume Commonwealth controlled rackspace and power are available at no charge at each location where COPANET access is available?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786DD3">
            <w:pPr>
              <w:rPr>
                <w:rFonts w:ascii="Arial" w:eastAsia="Times New Roman" w:hAnsi="Arial" w:cs="Arial"/>
                <w:color w:val="000000"/>
                <w:sz w:val="18"/>
                <w:szCs w:val="18"/>
              </w:rPr>
            </w:pPr>
            <w:r w:rsidRPr="00440359">
              <w:rPr>
                <w:rFonts w:ascii="Arial" w:eastAsia="Times New Roman" w:hAnsi="Arial" w:cs="Arial"/>
                <w:color w:val="000000"/>
                <w:sz w:val="18"/>
                <w:szCs w:val="18"/>
              </w:rPr>
              <w:t xml:space="preserve">Yes, the Offeror will be provided rackspace, power and cooling at no cost.  </w:t>
            </w:r>
            <w:r w:rsidR="00786DD3" w:rsidRPr="00440359">
              <w:rPr>
                <w:rFonts w:ascii="Arial" w:eastAsia="Times New Roman" w:hAnsi="Arial" w:cs="Arial"/>
                <w:color w:val="000000"/>
                <w:sz w:val="18"/>
                <w:szCs w:val="18"/>
              </w:rPr>
              <w:t>T</w:t>
            </w:r>
            <w:r w:rsidRPr="00440359">
              <w:rPr>
                <w:rFonts w:ascii="Arial" w:eastAsia="Times New Roman" w:hAnsi="Arial" w:cs="Arial"/>
                <w:color w:val="000000"/>
                <w:sz w:val="18"/>
                <w:szCs w:val="18"/>
              </w:rPr>
              <w:t>he Offeror must</w:t>
            </w:r>
            <w:r w:rsidR="00786DD3" w:rsidRPr="00440359">
              <w:rPr>
                <w:rFonts w:ascii="Arial" w:eastAsia="Times New Roman" w:hAnsi="Arial" w:cs="Arial"/>
                <w:color w:val="000000"/>
                <w:sz w:val="18"/>
                <w:szCs w:val="18"/>
              </w:rPr>
              <w:t>, however,</w:t>
            </w:r>
            <w:r w:rsidRPr="00440359">
              <w:rPr>
                <w:rFonts w:ascii="Arial" w:eastAsia="Times New Roman" w:hAnsi="Arial" w:cs="Arial"/>
                <w:color w:val="000000"/>
                <w:sz w:val="18"/>
                <w:szCs w:val="18"/>
              </w:rPr>
              <w:t xml:space="preserve"> provide the required data switching equipment and Uninterruptable Power Supply (UPS) to support the network requirements.</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4229EA" w:rsidP="00182FE3">
            <w:pPr>
              <w:jc w:val="center"/>
              <w:rPr>
                <w:rFonts w:ascii="Arial" w:eastAsia="Times New Roman" w:hAnsi="Arial" w:cs="Arial"/>
                <w:sz w:val="18"/>
                <w:szCs w:val="18"/>
              </w:rPr>
            </w:pPr>
            <w:r w:rsidRPr="00440359">
              <w:rPr>
                <w:rFonts w:ascii="Arial" w:eastAsia="Times New Roman" w:hAnsi="Arial" w:cs="Arial"/>
                <w:sz w:val="18"/>
                <w:szCs w:val="18"/>
              </w:rPr>
              <w:t>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 Datacenter Statement of Work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2.3.1</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What are the restrictions, costs, and regulations which will apply to Offeror connections to COPANET and the use of COPANET?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0F3E18" w:rsidP="00F72BF3">
            <w:pPr>
              <w:rPr>
                <w:rFonts w:ascii="Arial" w:eastAsia="Times New Roman" w:hAnsi="Arial" w:cs="Arial"/>
                <w:color w:val="000000"/>
                <w:sz w:val="18"/>
                <w:szCs w:val="18"/>
              </w:rPr>
            </w:pPr>
            <w:r w:rsidRPr="00440359">
              <w:rPr>
                <w:rFonts w:ascii="Arial" w:eastAsia="Times New Roman" w:hAnsi="Arial" w:cs="Arial"/>
                <w:color w:val="000000"/>
                <w:sz w:val="18"/>
                <w:szCs w:val="18"/>
              </w:rPr>
              <w:t>The Commonwealth will not charge the Offeror to</w:t>
            </w:r>
            <w:r w:rsidR="00182FE3" w:rsidRPr="00440359">
              <w:rPr>
                <w:rFonts w:ascii="Arial" w:eastAsia="Times New Roman" w:hAnsi="Arial" w:cs="Arial"/>
                <w:color w:val="000000"/>
                <w:sz w:val="18"/>
                <w:szCs w:val="18"/>
              </w:rPr>
              <w:t xml:space="preserve"> connect to COPANET.  The selected Offeror must work with the Commonwealth’s data and security engineers and administrators to design an acceptable configuration.</w:t>
            </w:r>
            <w:r w:rsidR="00F72BF3" w:rsidRPr="00440359">
              <w:rPr>
                <w:rFonts w:ascii="Arial" w:eastAsia="Times New Roman" w:hAnsi="Arial" w:cs="Arial"/>
                <w:color w:val="000000"/>
                <w:sz w:val="18"/>
                <w:szCs w:val="18"/>
              </w:rPr>
              <w:t xml:space="preserve">  </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 Datacenter Statement of Work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2.3.1</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What are the agencies data centers, bandwidth utilization, and bandwidth requirements when connecting into COPANET?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See Exhibit P (Enterprise Internet Bandwidth Utilization) for COPANET bandwidth utilization.  Any additional information regarding bandwidth utilization and bandwidth requirements will be documented as part of transition planning.</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 Datacenter Statement of Work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3.1.1.4</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Would the Commonwealth please describe the Tier III data center requirements that cannot be achieved with a Tier II facility with equal or better availability?</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786DD3">
            <w:pPr>
              <w:rPr>
                <w:rFonts w:ascii="Arial" w:eastAsia="Times New Roman" w:hAnsi="Arial" w:cs="Arial"/>
                <w:sz w:val="18"/>
                <w:szCs w:val="18"/>
              </w:rPr>
            </w:pPr>
            <w:r w:rsidRPr="00440359">
              <w:rPr>
                <w:rFonts w:ascii="Arial" w:eastAsia="Times New Roman" w:hAnsi="Arial" w:cs="Arial"/>
                <w:sz w:val="18"/>
                <w:szCs w:val="18"/>
              </w:rPr>
              <w:t>The RFP requirement states "Offeror must confirm its ability to provide, manage, maintain and operate multiple Tier 3 equivalent facilities."   Tier 2 and Tier 3 requirements can be found at Uptime Institute’s website http://uptimeinstitute.com.  Offerors can compare the requirements of the various Tiers based on the requirements as documented by the Uptime Institute.</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Will the Commonwealth please confirm that the Prime contractor is still responsible to perform 60% of the entire datacenter outsourcing solution? This should include every aspect of the contract: Hardware, Software, Leases, Services, Facilities, etc. In other words, the Prime will subcontract a maximum of 40% of the total value of the solution.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60% requirement in Part III-4 has been deleted and Part II-9 of the RFP has been revised.  </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 Transition Milestones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M-10</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does the Commonwealth envision the Offeror’s Change Management process or Problem Management process will integrate with the Commonwealth’s own process, requiring updated Change or Problem tickets to flow between the two ITSM platforms?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Commonwealth's processes are ITIL base</w:t>
            </w:r>
            <w:r w:rsidR="00786DD3" w:rsidRPr="00440359">
              <w:rPr>
                <w:rFonts w:ascii="Arial" w:eastAsia="Times New Roman" w:hAnsi="Arial" w:cs="Arial"/>
                <w:sz w:val="18"/>
                <w:szCs w:val="18"/>
              </w:rPr>
              <w:t>d</w:t>
            </w:r>
            <w:r w:rsidRPr="00440359">
              <w:rPr>
                <w:rFonts w:ascii="Arial" w:eastAsia="Times New Roman" w:hAnsi="Arial" w:cs="Arial"/>
                <w:sz w:val="18"/>
                <w:szCs w:val="18"/>
              </w:rPr>
              <w:t xml:space="preserve">.  The Offeror should have ITIL based processes.  The Offeror's ITSM must be capable of exchanging updates in Real-Time (approx. 5 minutes) from the Commonwealth's ITSM.  Information exchange between </w:t>
            </w:r>
            <w:r w:rsidR="00786DD3" w:rsidRPr="00440359">
              <w:rPr>
                <w:rFonts w:ascii="Arial" w:eastAsia="Times New Roman" w:hAnsi="Arial" w:cs="Arial"/>
                <w:sz w:val="18"/>
                <w:szCs w:val="18"/>
              </w:rPr>
              <w:t xml:space="preserve">Offeror and Commonwealth </w:t>
            </w:r>
            <w:r w:rsidRPr="00440359">
              <w:rPr>
                <w:rFonts w:ascii="Arial" w:eastAsia="Times New Roman" w:hAnsi="Arial" w:cs="Arial"/>
                <w:sz w:val="18"/>
                <w:szCs w:val="18"/>
              </w:rPr>
              <w:t>ITSM systems must be bi-directional.</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 COPA Datacenter Statement of Work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3.1.1.5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spacing w:after="240"/>
              <w:rPr>
                <w:rFonts w:ascii="Arial" w:eastAsia="Times New Roman" w:hAnsi="Arial" w:cs="Arial"/>
                <w:sz w:val="18"/>
                <w:szCs w:val="18"/>
              </w:rPr>
            </w:pPr>
            <w:r w:rsidRPr="00440359">
              <w:rPr>
                <w:rFonts w:ascii="Arial" w:eastAsia="Times New Roman" w:hAnsi="Arial" w:cs="Arial"/>
                <w:sz w:val="18"/>
                <w:szCs w:val="18"/>
              </w:rPr>
              <w:t>The Commonwealth’s response to Question #11 in the new answers section indicates the Offeror provide server maintenance for Exhibits D.1 and D.14.  Would the Commonwealth please confirm this excludes Exhibit D.5 - EDC- DOT Datacenter Inventory?</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182FE3">
            <w:pPr>
              <w:rPr>
                <w:rFonts w:ascii="Arial" w:eastAsia="Times New Roman" w:hAnsi="Arial" w:cs="Arial"/>
                <w:sz w:val="18"/>
                <w:szCs w:val="18"/>
              </w:rPr>
            </w:pPr>
            <w:r w:rsidRPr="00440359">
              <w:rPr>
                <w:rFonts w:ascii="Arial" w:eastAsia="Times New Roman" w:hAnsi="Arial" w:cs="Arial"/>
                <w:sz w:val="18"/>
                <w:szCs w:val="18"/>
              </w:rPr>
              <w:t xml:space="preserve">The selected Offeror must provide server maintenance for all servers in the EDC, including those listed in Exhibit D.5.   </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Exhibit D.3, EDC Storage</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EDC Storage</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Would the Commonwealth please provide specific information regarding SAN storage hardware refresh and on-going maintenance at the EDC (Exhibit D.3, EDC Storage).  Will the Offeror be required to provide storage hardware at the EDC datacenter in Year 1?</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Offerors must provide SAN storage as ordered by the Commonwealth.  Offeror should propose its best solution for </w:t>
            </w:r>
            <w:r w:rsidR="00786DD3" w:rsidRPr="00440359">
              <w:rPr>
                <w:rFonts w:ascii="Arial" w:eastAsia="Times New Roman" w:hAnsi="Arial" w:cs="Arial"/>
                <w:sz w:val="18"/>
                <w:szCs w:val="18"/>
              </w:rPr>
              <w:t>the 2</w:t>
            </w:r>
            <w:r w:rsidRPr="00440359">
              <w:rPr>
                <w:rFonts w:ascii="Arial" w:eastAsia="Times New Roman" w:hAnsi="Arial" w:cs="Arial"/>
                <w:sz w:val="18"/>
                <w:szCs w:val="18"/>
              </w:rPr>
              <w:t xml:space="preserve">+ datacenter architecture, including </w:t>
            </w:r>
            <w:r w:rsidR="00786DD3" w:rsidRPr="00440359">
              <w:rPr>
                <w:rFonts w:ascii="Arial" w:eastAsia="Times New Roman" w:hAnsi="Arial" w:cs="Arial"/>
                <w:sz w:val="18"/>
                <w:szCs w:val="18"/>
              </w:rPr>
              <w:t>how the</w:t>
            </w:r>
            <w:r w:rsidRPr="00440359">
              <w:rPr>
                <w:rFonts w:ascii="Arial" w:eastAsia="Times New Roman" w:hAnsi="Arial" w:cs="Arial"/>
                <w:sz w:val="18"/>
                <w:szCs w:val="18"/>
              </w:rPr>
              <w:t xml:space="preserve"> EDC will be used to provide the services ordered by the </w:t>
            </w:r>
            <w:r w:rsidR="00786DD3" w:rsidRPr="00440359">
              <w:rPr>
                <w:rFonts w:ascii="Arial" w:eastAsia="Times New Roman" w:hAnsi="Arial" w:cs="Arial"/>
                <w:sz w:val="18"/>
                <w:szCs w:val="18"/>
              </w:rPr>
              <w:t>Commonwealth.</w:t>
            </w:r>
          </w:p>
        </w:tc>
      </w:tr>
      <w:tr w:rsidR="00182FE3" w:rsidRPr="00440359" w:rsidTr="00EE45CA">
        <w:trPr>
          <w:trHeight w:val="24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187-189</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 metrics Tab</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allocation or percentage of the 2.71 PB of SAN storage listed under Storage and Backup Fully Managed (I) is required for DR?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baseline quantity includes production only.  The configuration definitions tab identifies which configurations include DR.  Each configuration has associated volumetrics.</w:t>
            </w:r>
            <w:r w:rsidRPr="00440359">
              <w:rPr>
                <w:rFonts w:ascii="Arial" w:eastAsia="Times New Roman" w:hAnsi="Arial" w:cs="Arial"/>
                <w:sz w:val="18"/>
                <w:szCs w:val="18"/>
              </w:rPr>
              <w:br/>
            </w:r>
            <w:r w:rsidRPr="00440359">
              <w:rPr>
                <w:rFonts w:ascii="Arial" w:eastAsia="Times New Roman" w:hAnsi="Arial" w:cs="Arial"/>
                <w:sz w:val="18"/>
                <w:szCs w:val="18"/>
              </w:rPr>
              <w:br/>
              <w:t xml:space="preserve">The Commonwealth has established multiple scenarios of infrastructure configurations specifically for pricing evaluation, as set forth in Schedule I.  Actual volumes may vary.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Exhibit B.4,</w:t>
            </w:r>
            <w:r w:rsidRPr="00440359">
              <w:rPr>
                <w:rFonts w:ascii="Arial" w:eastAsia="Times New Roman" w:hAnsi="Arial" w:cs="Arial"/>
                <w:sz w:val="18"/>
                <w:szCs w:val="18"/>
              </w:rPr>
              <w:br/>
              <w:t>Schedule I, Third Party Software – Contractor Provided</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 metrics Tab</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Given certain software products are priced by the application server specifications (platform, # cpu’s, # cores, etc.) Oracle for example, would the Commonwealth please provide the software vendors catalog part number that is associated to the quantity listed in B.4, DPH - Third Party Software – Contractor Provided?</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F72BF3">
            <w:pPr>
              <w:rPr>
                <w:rFonts w:ascii="Arial" w:eastAsia="Times New Roman" w:hAnsi="Arial" w:cs="Arial"/>
                <w:sz w:val="18"/>
                <w:szCs w:val="18"/>
              </w:rPr>
            </w:pPr>
            <w:r w:rsidRPr="00440359">
              <w:rPr>
                <w:rFonts w:ascii="Arial" w:eastAsia="Times New Roman" w:hAnsi="Arial" w:cs="Arial"/>
                <w:sz w:val="18"/>
                <w:szCs w:val="18"/>
              </w:rPr>
              <w:t>No, the Commonwealth will not provide vendor catalog part number</w:t>
            </w:r>
            <w:r w:rsidR="0010097B" w:rsidRPr="00440359">
              <w:rPr>
                <w:rFonts w:ascii="Arial" w:eastAsia="Times New Roman" w:hAnsi="Arial" w:cs="Arial"/>
                <w:sz w:val="18"/>
                <w:szCs w:val="18"/>
              </w:rPr>
              <w:t>s</w:t>
            </w:r>
            <w:r w:rsidRPr="00440359">
              <w:rPr>
                <w:rFonts w:ascii="Arial" w:eastAsia="Times New Roman" w:hAnsi="Arial" w:cs="Arial"/>
                <w:sz w:val="18"/>
                <w:szCs w:val="18"/>
              </w:rPr>
              <w:t xml:space="preserve"> for the software listed in Exhibit B.4</w:t>
            </w:r>
            <w:r w:rsidR="0010097B" w:rsidRPr="00440359">
              <w:rPr>
                <w:rFonts w:ascii="Arial" w:eastAsia="Times New Roman" w:hAnsi="Arial" w:cs="Arial"/>
                <w:sz w:val="18"/>
                <w:szCs w:val="18"/>
              </w:rPr>
              <w:t xml:space="preserve"> as the proposed configurations </w:t>
            </w:r>
            <w:r w:rsidR="000F3E18" w:rsidRPr="00440359">
              <w:rPr>
                <w:rFonts w:ascii="Arial" w:eastAsia="Times New Roman" w:hAnsi="Arial" w:cs="Arial"/>
                <w:sz w:val="18"/>
                <w:szCs w:val="18"/>
              </w:rPr>
              <w:t>are not required to</w:t>
            </w:r>
            <w:r w:rsidR="0010097B" w:rsidRPr="00440359">
              <w:rPr>
                <w:rFonts w:ascii="Arial" w:eastAsia="Times New Roman" w:hAnsi="Arial" w:cs="Arial"/>
                <w:sz w:val="18"/>
                <w:szCs w:val="18"/>
              </w:rPr>
              <w:t xml:space="preserve"> duplicate the current configuration.  </w:t>
            </w:r>
            <w:r w:rsidR="00182FE3" w:rsidRPr="00440359">
              <w:rPr>
                <w:rFonts w:ascii="Arial" w:eastAsia="Times New Roman" w:hAnsi="Arial" w:cs="Arial"/>
                <w:sz w:val="18"/>
                <w:szCs w:val="18"/>
              </w:rPr>
              <w:t xml:space="preserve">The Offeror must provide a catalog of monthly single unit prices as part of its proposal.  A single unit could be a single MIP, a single core, a single user, a single server, etc.  </w:t>
            </w:r>
          </w:p>
        </w:tc>
      </w:tr>
      <w:tr w:rsidR="00182FE3" w:rsidRPr="00440359" w:rsidTr="00EE45CA">
        <w:trPr>
          <w:trHeight w:val="28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12</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Does the Commonwealth have any office space, other than the EDC, that it would be able to make available to the selected vendor at no cost?  In a typical outsourcing transaction the client will provide excess facility space to the vendor to avoid the expense of procuring additional space and the resulting markup from the vendor.  Vendors will have substantial office space requirements to house their transition and operating staffs.  Does the Commonwealth have space available, or does it wish vendors to include this cost in their proposals.</w:t>
            </w:r>
          </w:p>
        </w:tc>
        <w:tc>
          <w:tcPr>
            <w:tcW w:w="6515" w:type="dxa"/>
            <w:tcBorders>
              <w:top w:val="nil"/>
              <w:left w:val="nil"/>
              <w:bottom w:val="single" w:sz="4" w:space="0" w:color="auto"/>
              <w:right w:val="single" w:sz="4" w:space="0" w:color="auto"/>
            </w:tcBorders>
            <w:shd w:val="clear" w:color="000000" w:fill="FFFFFF"/>
            <w:hideMark/>
          </w:tcPr>
          <w:p w:rsidR="00125D54" w:rsidRPr="00440359" w:rsidRDefault="00182FE3">
            <w:pPr>
              <w:rPr>
                <w:rFonts w:ascii="Arial" w:eastAsia="Times New Roman" w:hAnsi="Arial" w:cs="Arial"/>
                <w:sz w:val="18"/>
                <w:szCs w:val="18"/>
              </w:rPr>
            </w:pPr>
            <w:r w:rsidRPr="00440359">
              <w:rPr>
                <w:rFonts w:ascii="Arial" w:eastAsia="Times New Roman" w:hAnsi="Arial" w:cs="Arial"/>
                <w:sz w:val="18"/>
                <w:szCs w:val="18"/>
              </w:rPr>
              <w:t>Other than the space identified in the EDC, the Commonwealth does not have any additional space for the selected Offeror to utilize.</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Addendum 15</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Commonwealth’s response to Question #117 of Addendum 15 states in part that “the data center proposed by an Offeror must have the required certifications.”  Would the Commonwealth please confirm that Offerors can comply with the certification requirement by maintaining some or all of the required certifications at the corporate level?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Offerors are eligible for award if required certifications are held at the corporate level. The Datacenter certifications must be held for the proposed datacenter(s) prior to implementing any Commonwealth service.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 Transition Milestones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M-5, Data Gathering</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D, M-5, Data Gathering states 120 calendar days from Contract Effective Date.  However, in the same section it refers “Delivery and acceptance of the following Deliverables from Schedule K: D-10.01”, which is due in 150 days.  Would the Commonwealth please clarify if it is 120 days or 150 days?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K has been revised.  Deliverable D-10.01 has been revised to 120 days and Deliverable D-10.02 has been revised to 150 days.  </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192 (Tape and Backup)</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 metrics Tab</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Does the server tape store baseline volume of 2.7PB include the data retention? Would the Commonwealth please provide breakup of the “Actual Data Protected”  vs. Data Retained (Weekly, Monthly, Annual Full backups) on ongoing basis? </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043EBB">
            <w:pPr>
              <w:rPr>
                <w:rFonts w:ascii="Arial" w:eastAsia="Times New Roman" w:hAnsi="Arial" w:cs="Arial"/>
                <w:sz w:val="18"/>
                <w:szCs w:val="18"/>
              </w:rPr>
            </w:pPr>
            <w:r w:rsidRPr="00440359">
              <w:rPr>
                <w:rFonts w:ascii="Arial" w:eastAsia="Times New Roman" w:hAnsi="Arial" w:cs="Arial"/>
                <w:sz w:val="18"/>
                <w:szCs w:val="18"/>
              </w:rPr>
              <w:t>Yes, t</w:t>
            </w:r>
            <w:r w:rsidR="00182FE3" w:rsidRPr="00440359">
              <w:rPr>
                <w:rFonts w:ascii="Arial" w:eastAsia="Times New Roman" w:hAnsi="Arial" w:cs="Arial"/>
                <w:sz w:val="18"/>
                <w:szCs w:val="18"/>
              </w:rPr>
              <w:t>his includes all data actual and retained.</w:t>
            </w:r>
          </w:p>
        </w:tc>
      </w:tr>
      <w:tr w:rsidR="00182FE3" w:rsidRPr="00440359" w:rsidTr="00EE45CA">
        <w:trPr>
          <w:trHeight w:val="7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192 (Tape and Backup)</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 metrics Tab</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Would the Commonwealth please provide the baseline volumes for the disk-2-disk backup?</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There is no disk to disk backup for Row 192 "Server Tape Stored</w:t>
            </w:r>
            <w:r w:rsidR="00C669D8">
              <w:rPr>
                <w:rFonts w:ascii="Arial" w:eastAsia="Times New Roman" w:hAnsi="Arial" w:cs="Arial"/>
                <w:sz w:val="18"/>
                <w:szCs w:val="18"/>
              </w:rPr>
              <w:t>.</w:t>
            </w:r>
            <w:r w:rsidRPr="00440359">
              <w:rPr>
                <w:rFonts w:ascii="Arial" w:eastAsia="Times New Roman" w:hAnsi="Arial" w:cs="Arial"/>
                <w:sz w:val="18"/>
                <w:szCs w:val="18"/>
              </w:rPr>
              <w:t>"</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For Offerors who maintain ISO 27001, 9001, 20000 certifications at the corporate level, is it sufficient to demonstrate that they can operate their facilities at the required certification levels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Offerors are eligible for award if required certifications are held at the corporate level. The Datacenter certifications must be held for the proposed datacenter(s) prior to implementing any Commonwealth service.  </w:t>
            </w:r>
          </w:p>
        </w:tc>
      </w:tr>
      <w:tr w:rsidR="00182FE3" w:rsidRPr="00440359" w:rsidTr="00EE45CA">
        <w:trPr>
          <w:trHeight w:val="21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N/A</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If certification must be obtained at the facility level, would the Commonwealth please confirm that Offerors who are in the process of securing such certifications for those facilities, are eligible for award as long as those certifications are currently held at the corporate level and the facilities level certifications are completed prior to commencement of production services to the Commonwealth?</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Commonwealth confirms that Offerors are eligible for award if required certifications are held at the corporate level. The Datacenter certifications must be held for the proposed datacenter(s) prior to implementing any Commonwealth service.  </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All</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All</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Transition Milestones defined in Schedule D do not align with the definitions found in Schedule I (i.e. M-2). Which set of Milestone definitions should be used for RFP submission?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I has been revised to align with the Milestones defined in Schedule D. </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20</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r w:rsidRPr="00440359">
              <w:rPr>
                <w:rFonts w:ascii="Arial" w:eastAsia="Times New Roman" w:hAnsi="Arial" w:cs="Arial"/>
                <w:sz w:val="18"/>
                <w:szCs w:val="18"/>
              </w:rPr>
              <w:br/>
              <w:t>Exhibit E.43 DL1-UC Software</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All</w:t>
            </w:r>
            <w:r w:rsidRPr="00440359">
              <w:rPr>
                <w:rFonts w:ascii="Arial" w:eastAsia="Times New Roman" w:hAnsi="Arial" w:cs="Arial"/>
                <w:sz w:val="18"/>
                <w:szCs w:val="18"/>
              </w:rPr>
              <w:br/>
              <w:t>4.6.13</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Section 4.6.13 does not appear to be included in Schedule I, Offeror Pricing form.  Does the cost for maintenance and support for these software tools need to be included in the Offeror’s proposal?</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Any third party software needed for the Offerors proposed solution in addition to the software as listed in schedule I should be added to the Catalog of Services under “Additional Services."</w:t>
            </w:r>
            <w:r w:rsidR="006613CA" w:rsidRPr="00440359">
              <w:rPr>
                <w:rFonts w:ascii="Arial" w:eastAsia="Times New Roman" w:hAnsi="Arial" w:cs="Arial"/>
                <w:sz w:val="18"/>
                <w:szCs w:val="18"/>
              </w:rPr>
              <w:t xml:space="preserve">  Maintenance and support must be provided for the software as set forth in Appendix A and included in the Offeror’s proposal.</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After RFP submission, what is the procurement events, and calendar dates the Commonwealth anticipates?  </w:t>
            </w:r>
            <w:r w:rsidRPr="00440359">
              <w:rPr>
                <w:rFonts w:ascii="Arial" w:eastAsia="Times New Roman" w:hAnsi="Arial" w:cs="Arial"/>
                <w:sz w:val="18"/>
                <w:szCs w:val="18"/>
              </w:rPr>
              <w:br/>
              <w:t>For example, RFP submission 06/19/2013- BAFO (TBD to TBD), Negotiations, (TBD to TBD), Contract Award (TBD), and is the Contract Start Date still anticipated to be 12/1/2013?</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5D70B4">
            <w:pPr>
              <w:rPr>
                <w:rFonts w:ascii="Arial" w:eastAsia="Times New Roman" w:hAnsi="Arial" w:cs="Arial"/>
                <w:sz w:val="18"/>
                <w:szCs w:val="18"/>
              </w:rPr>
            </w:pPr>
            <w:r w:rsidRPr="00440359">
              <w:rPr>
                <w:rFonts w:ascii="Arial" w:eastAsia="Times New Roman" w:hAnsi="Arial" w:cs="Arial"/>
                <w:sz w:val="18"/>
                <w:szCs w:val="18"/>
              </w:rPr>
              <w:t>For purposes of submitting a proposal</w:t>
            </w:r>
            <w:r w:rsidR="005D70B4" w:rsidRPr="00440359">
              <w:rPr>
                <w:rFonts w:ascii="Arial" w:eastAsia="Times New Roman" w:hAnsi="Arial" w:cs="Arial"/>
                <w:sz w:val="18"/>
                <w:szCs w:val="18"/>
              </w:rPr>
              <w:t xml:space="preserve"> only</w:t>
            </w:r>
            <w:r w:rsidRPr="00440359">
              <w:rPr>
                <w:rFonts w:ascii="Arial" w:eastAsia="Times New Roman" w:hAnsi="Arial" w:cs="Arial"/>
                <w:sz w:val="18"/>
                <w:szCs w:val="18"/>
              </w:rPr>
              <w:t xml:space="preserve">, Offerors should assume an approximate contract start date of December 2013.  The actual start date may vary and will depend on a number of factors including the length of contract negotiations and the Commonwealth contract execution process.   </w:t>
            </w:r>
            <w:r w:rsidR="005D70B4" w:rsidRPr="00440359">
              <w:rPr>
                <w:rFonts w:ascii="Arial" w:eastAsia="Times New Roman" w:hAnsi="Arial" w:cs="Arial"/>
                <w:sz w:val="18"/>
                <w:szCs w:val="18"/>
              </w:rPr>
              <w:t xml:space="preserve">It is not possible to </w:t>
            </w:r>
            <w:r w:rsidRPr="00440359">
              <w:rPr>
                <w:rFonts w:ascii="Arial" w:eastAsia="Times New Roman" w:hAnsi="Arial" w:cs="Arial"/>
                <w:sz w:val="18"/>
                <w:szCs w:val="18"/>
              </w:rPr>
              <w:t>provide estimated dates for the other referenced procurement activities.</w:t>
            </w:r>
          </w:p>
        </w:tc>
      </w:tr>
      <w:tr w:rsidR="00182FE3" w:rsidRPr="00440359" w:rsidTr="00EE45CA">
        <w:trPr>
          <w:trHeight w:val="38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With the Addendum 15 updates to Schedule I, and in general- how will the Commonwealth evaluate the Cost of the DCCS RFP?   For example, will the Cost evaluation be based upon an Offeror’s total cost in Schedule I, or will the Cost evaluation be broken out by line items of the total Cost, with different scoring weights applied to different line items?</w:t>
            </w:r>
            <w:r w:rsidRPr="00440359">
              <w:rPr>
                <w:rFonts w:ascii="Arial" w:eastAsia="Times New Roman" w:hAnsi="Arial" w:cs="Arial"/>
                <w:sz w:val="18"/>
                <w:szCs w:val="18"/>
              </w:rPr>
              <w:br/>
            </w:r>
            <w:r w:rsidRPr="00440359">
              <w:rPr>
                <w:rFonts w:ascii="Arial" w:eastAsia="Times New Roman" w:hAnsi="Arial" w:cs="Arial"/>
                <w:sz w:val="18"/>
                <w:szCs w:val="18"/>
              </w:rPr>
              <w:br/>
              <w:t>If the Commonwealth will apply different scoring weights to the line items of an Offeror’s total cost in Schedule I, what percentage of the Cost evaluation will be allocated to the architecture charges, transition cost, per unit service catalog, and T&amp;M rate card?</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Schedule I will be used for cost evaluation.  The Commonwealth does not provide detailed evaluation criteria. Offerors should submit their best proposal.</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will the Commonwealth evaluate the exceptions to the T&amp;Cs Offeror’s may take?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All proposals must be submitted on the basis of the terms and conditions set forth in Appendix A.  The Commonwealth does not disclose detailed evaluation criteria.</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Will the Commonwealth be requiring oral presentations for the DCCS program, and if so- will they be part of the BAFO process?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6613CA" w:rsidP="00182FE3">
            <w:pPr>
              <w:rPr>
                <w:rFonts w:ascii="Arial" w:eastAsia="Times New Roman" w:hAnsi="Arial" w:cs="Arial"/>
                <w:sz w:val="18"/>
                <w:szCs w:val="18"/>
              </w:rPr>
            </w:pPr>
            <w:r w:rsidRPr="00440359">
              <w:rPr>
                <w:rFonts w:ascii="Arial" w:eastAsia="Times New Roman" w:hAnsi="Arial" w:cs="Arial"/>
                <w:sz w:val="18"/>
                <w:szCs w:val="18"/>
              </w:rPr>
              <w:t xml:space="preserve">The Commonwealth at its sole discretion may require oral presentations. </w:t>
            </w:r>
            <w:r w:rsidR="00182FE3" w:rsidRPr="00440359">
              <w:rPr>
                <w:rFonts w:ascii="Arial" w:eastAsia="Times New Roman" w:hAnsi="Arial" w:cs="Arial"/>
                <w:sz w:val="18"/>
                <w:szCs w:val="18"/>
              </w:rPr>
              <w:t xml:space="preserve">In accordance with section I-16. Discussions for Clarification of the RFP, oral or written clarifications to an Offerors proposal may occur at any stage of the evaluation and selection process prior to contract execution.  Additionally, as stated in section I-19 Best and Final Offers of the RFP, the Issuing Office may Schedule </w:t>
            </w:r>
            <w:r w:rsidRPr="00440359">
              <w:rPr>
                <w:rFonts w:ascii="Arial" w:eastAsia="Times New Roman" w:hAnsi="Arial" w:cs="Arial"/>
                <w:sz w:val="18"/>
                <w:szCs w:val="18"/>
              </w:rPr>
              <w:t>o</w:t>
            </w:r>
            <w:r w:rsidR="00182FE3" w:rsidRPr="00440359">
              <w:rPr>
                <w:rFonts w:ascii="Arial" w:eastAsia="Times New Roman" w:hAnsi="Arial" w:cs="Arial"/>
                <w:sz w:val="18"/>
                <w:szCs w:val="18"/>
              </w:rPr>
              <w:t>ral presentations.</w:t>
            </w:r>
          </w:p>
        </w:tc>
      </w:tr>
      <w:tr w:rsidR="00182FE3" w:rsidRPr="00440359" w:rsidTr="001A5115">
        <w:trPr>
          <w:trHeight w:val="62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Given the Commonwealth’s position on no minimum commitments, no minimum percentage of work to be performed by a Prime contractor, and the Commonwealth’s desire for Small Disadvantaged Businesses to Prime contracts- will the Commonwealth consider Prime bids from Small Disadvantaged Businesses?  </w:t>
            </w:r>
            <w:r w:rsidRPr="00440359">
              <w:rPr>
                <w:rFonts w:ascii="Arial" w:eastAsia="Times New Roman" w:hAnsi="Arial" w:cs="Arial"/>
                <w:sz w:val="18"/>
                <w:szCs w:val="18"/>
              </w:rPr>
              <w:br/>
            </w:r>
            <w:r w:rsidRPr="00440359">
              <w:rPr>
                <w:rFonts w:ascii="Arial" w:eastAsia="Times New Roman" w:hAnsi="Arial" w:cs="Arial"/>
                <w:sz w:val="18"/>
                <w:szCs w:val="18"/>
              </w:rPr>
              <w:br/>
              <w:t>Additionally, if a Small Disadvantaged Business Primes, and similar to the Commonwealth’s position of capturing certifications through subcontractors- will the Commonwealth consider the financial wherewithal of major subcontractors for purposes of evaluating the overall prime/ subcontractor proposal?</w:t>
            </w:r>
          </w:p>
        </w:tc>
        <w:tc>
          <w:tcPr>
            <w:tcW w:w="6515" w:type="dxa"/>
            <w:tcBorders>
              <w:top w:val="nil"/>
              <w:left w:val="nil"/>
              <w:bottom w:val="single" w:sz="4" w:space="0" w:color="auto"/>
              <w:right w:val="single" w:sz="4" w:space="0" w:color="auto"/>
            </w:tcBorders>
            <w:shd w:val="clear" w:color="auto" w:fill="auto"/>
            <w:hideMark/>
          </w:tcPr>
          <w:p w:rsidR="00D62287"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Per section 1-13 of the RFP “A Small Diverse Businesses is a DGS-verified minority-owned business, woman-owned business, veteran-owned business or service-disabled veteran-owned business.”  The Department’s directory of BSBO-verified minority, women, veteran and service disabled veteran-owned businesses can be accessed from:  Searching for Small Diverse Businesses.</w:t>
            </w:r>
            <w:r w:rsidRPr="00440359">
              <w:rPr>
                <w:rFonts w:ascii="Arial" w:eastAsia="Times New Roman" w:hAnsi="Arial" w:cs="Arial"/>
                <w:sz w:val="18"/>
                <w:szCs w:val="18"/>
              </w:rPr>
              <w:br/>
            </w:r>
            <w:r w:rsidRPr="00440359">
              <w:rPr>
                <w:rFonts w:ascii="Arial" w:eastAsia="Times New Roman" w:hAnsi="Arial" w:cs="Arial"/>
                <w:sz w:val="18"/>
                <w:szCs w:val="18"/>
              </w:rPr>
              <w:br/>
              <w:t>Per section II-9 of the RFP; “For Offerors to receive credit for being a Small Diverse Business or for subcontracting with a Small Diverse Business (including purchasing supplies and/or services through a purchase agreement), an Offeror must include proof of Small Diverse Business qualification in the Small Diverse Business participation submittal with the of the proposal.  A Small Diverse Business verified by BSBO as a Small Diverse Business must provide a photocopy of their verification letter.</w:t>
            </w:r>
          </w:p>
          <w:p w:rsidR="00D62287"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br/>
              <w:t>UCP and MSDC are two of the five third party certifiers that BSBO uses to verify Small Diverse Businesses.   Verification by BSBO is required for a business to be recognized by the Commonwealth as a Small Diverse Businesses.  UCP or MSDC certification documents must be submitted to DGS for verification.</w:t>
            </w:r>
            <w:r w:rsidRPr="00440359">
              <w:rPr>
                <w:rFonts w:ascii="Arial" w:eastAsia="Times New Roman" w:hAnsi="Arial" w:cs="Arial"/>
                <w:sz w:val="18"/>
                <w:szCs w:val="18"/>
              </w:rPr>
              <w:br/>
            </w:r>
          </w:p>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For those companies interested in learning more on how a company can become a DGS verified small diverse business please click this link, </w:t>
            </w:r>
            <w:hyperlink r:id="rId17" w:history="1">
              <w:r w:rsidRPr="00C669D8">
                <w:rPr>
                  <w:rStyle w:val="Hyperlink"/>
                  <w:rFonts w:ascii="Arial" w:eastAsia="Times New Roman" w:hAnsi="Arial" w:cs="Arial"/>
                  <w:sz w:val="18"/>
                  <w:szCs w:val="18"/>
                </w:rPr>
                <w:t>http://www.portal.state.pa.us/portal/server.pt?open=512&amp;objID=1359&amp;mode=2</w:t>
              </w:r>
            </w:hyperlink>
            <w:r w:rsidRPr="00440359">
              <w:rPr>
                <w:rFonts w:ascii="Arial" w:eastAsia="Times New Roman" w:hAnsi="Arial" w:cs="Arial"/>
                <w:sz w:val="18"/>
                <w:szCs w:val="18"/>
              </w:rPr>
              <w:t>.</w:t>
            </w:r>
          </w:p>
        </w:tc>
      </w:tr>
      <w:tr w:rsidR="00182FE3" w:rsidRPr="00440359" w:rsidTr="001A5115">
        <w:trPr>
          <w:trHeight w:val="2400"/>
        </w:trPr>
        <w:tc>
          <w:tcPr>
            <w:tcW w:w="68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26</w:t>
            </w:r>
          </w:p>
        </w:tc>
        <w:tc>
          <w:tcPr>
            <w:tcW w:w="138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 and Appendix A</w:t>
            </w:r>
          </w:p>
        </w:tc>
        <w:tc>
          <w:tcPr>
            <w:tcW w:w="140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single" w:sz="4" w:space="0" w:color="auto"/>
              <w:left w:val="nil"/>
              <w:bottom w:val="single" w:sz="4" w:space="0" w:color="auto"/>
              <w:right w:val="single" w:sz="4" w:space="0" w:color="auto"/>
            </w:tcBorders>
            <w:shd w:val="clear" w:color="auto" w:fill="FFFFFF" w:themeFill="background1"/>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limitation of liability provision in the Commonwealth’s proposed contract is set at “the value of the contract.”  </w:t>
            </w:r>
            <w:r w:rsidRPr="00440359">
              <w:rPr>
                <w:rFonts w:ascii="Arial" w:eastAsia="Times New Roman" w:hAnsi="Arial" w:cs="Arial"/>
                <w:sz w:val="18"/>
                <w:szCs w:val="18"/>
              </w:rPr>
              <w:br/>
            </w:r>
            <w:r w:rsidRPr="00440359">
              <w:rPr>
                <w:rFonts w:ascii="Arial" w:eastAsia="Times New Roman" w:hAnsi="Arial" w:cs="Arial"/>
                <w:sz w:val="18"/>
                <w:szCs w:val="18"/>
              </w:rPr>
              <w:br/>
              <w:t>Considering that the Commonwealth is not committing to minimum services volumes, will the Commonwealth please confirm the value of the contract and the method for calculating the value of the contract?</w:t>
            </w:r>
          </w:p>
        </w:tc>
        <w:tc>
          <w:tcPr>
            <w:tcW w:w="6515" w:type="dxa"/>
            <w:tcBorders>
              <w:top w:val="single" w:sz="4" w:space="0" w:color="auto"/>
              <w:left w:val="nil"/>
              <w:bottom w:val="single" w:sz="4" w:space="0" w:color="auto"/>
              <w:right w:val="single" w:sz="4" w:space="0" w:color="auto"/>
            </w:tcBorders>
            <w:shd w:val="clear" w:color="auto" w:fill="FFFFFF" w:themeFill="background1"/>
            <w:hideMark/>
          </w:tcPr>
          <w:p w:rsidR="00731498" w:rsidRPr="00440359" w:rsidRDefault="004229EA">
            <w:pPr>
              <w:rPr>
                <w:rFonts w:ascii="Arial" w:hAnsi="Arial" w:cs="Arial"/>
                <w:color w:val="FF0000"/>
                <w:sz w:val="18"/>
                <w:szCs w:val="18"/>
              </w:rPr>
            </w:pPr>
            <w:r w:rsidRPr="00440359">
              <w:rPr>
                <w:rFonts w:ascii="Arial" w:hAnsi="Arial" w:cs="Arial"/>
                <w:sz w:val="18"/>
                <w:szCs w:val="18"/>
              </w:rPr>
              <w:t xml:space="preserve">Solely for purposes of submitting a proposal, </w:t>
            </w:r>
            <w:r w:rsidR="00C522A9" w:rsidRPr="00440359">
              <w:rPr>
                <w:rFonts w:ascii="Arial" w:hAnsi="Arial" w:cs="Arial"/>
                <w:sz w:val="18"/>
                <w:szCs w:val="18"/>
              </w:rPr>
              <w:t>Offeror</w:t>
            </w:r>
            <w:r w:rsidRPr="00440359">
              <w:rPr>
                <w:rFonts w:ascii="Arial" w:hAnsi="Arial" w:cs="Arial"/>
                <w:sz w:val="18"/>
                <w:szCs w:val="18"/>
              </w:rPr>
              <w:t xml:space="preserve"> should assume the “value of the contract” referenced in the limitation of liability provision is equal to the total value of its cost submittal.  For purposes of the contract, however, the “value of the contract” referenced in the limitation of liability provision will equal the total amount spent by the Commonwealth during the term of the contract, including renewal years if applicable.</w:t>
            </w:r>
          </w:p>
          <w:p w:rsidR="00264EFA" w:rsidRPr="00440359" w:rsidRDefault="00264EFA" w:rsidP="00264EFA">
            <w:pPr>
              <w:rPr>
                <w:rFonts w:ascii="Arial" w:hAnsi="Arial" w:cs="Arial"/>
                <w:sz w:val="18"/>
                <w:szCs w:val="18"/>
              </w:rPr>
            </w:pPr>
          </w:p>
          <w:p w:rsidR="00731498" w:rsidRPr="00440359" w:rsidRDefault="004229EA">
            <w:pPr>
              <w:rPr>
                <w:rFonts w:ascii="Arial" w:hAnsi="Arial" w:cs="Arial"/>
                <w:sz w:val="18"/>
                <w:szCs w:val="18"/>
              </w:rPr>
            </w:pPr>
            <w:r w:rsidRPr="00440359">
              <w:rPr>
                <w:rFonts w:ascii="Arial" w:hAnsi="Arial" w:cs="Arial"/>
                <w:sz w:val="18"/>
                <w:szCs w:val="18"/>
              </w:rPr>
              <w:t xml:space="preserve">Objections to the terms and conditions set forth in Appendix A may be made according to Part II-8 of the RFP. </w:t>
            </w:r>
          </w:p>
          <w:p w:rsidR="00182FE3" w:rsidRPr="00440359" w:rsidRDefault="00182FE3" w:rsidP="00182FE3">
            <w:pPr>
              <w:rPr>
                <w:rFonts w:ascii="Arial" w:eastAsia="Times New Roman" w:hAnsi="Arial" w:cs="Arial"/>
                <w:sz w:val="18"/>
                <w:szCs w:val="18"/>
              </w:rPr>
            </w:pPr>
          </w:p>
        </w:tc>
      </w:tr>
      <w:tr w:rsidR="00182FE3" w:rsidRPr="00440359" w:rsidTr="006613CA">
        <w:trPr>
          <w:trHeight w:val="4697"/>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RFP- II-9</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Commonwealth states that a Small Diverse Business must be verified through the BSBO.  The BSBO website states that in lieu of issuing DSG certification, through a new verification process will instead verify certifications from third party entities including:  The Unified Certification Program (UPC), The National Minority Supplier Development Council (NMSDC); The Women’s Business Enterprise National Council (WBENC); The United States Small Business Administration (SBA 8(A) Business Development Program; and the Vetbiz</w:t>
            </w:r>
            <w:bookmarkStart w:id="6" w:name="_GoBack"/>
            <w:bookmarkEnd w:id="6"/>
            <w:r w:rsidRPr="00440359">
              <w:rPr>
                <w:rFonts w:ascii="Arial" w:eastAsia="Times New Roman" w:hAnsi="Arial" w:cs="Arial"/>
                <w:sz w:val="18"/>
                <w:szCs w:val="18"/>
              </w:rPr>
              <w:t xml:space="preserve"> VIP Verification Program </w:t>
            </w:r>
            <w:r w:rsidRPr="00440359">
              <w:rPr>
                <w:rFonts w:ascii="Arial" w:eastAsia="Times New Roman" w:hAnsi="Arial" w:cs="Arial"/>
                <w:sz w:val="18"/>
                <w:szCs w:val="18"/>
              </w:rPr>
              <w:br/>
              <w:t>(Vetbiz.gov).</w:t>
            </w:r>
            <w:r w:rsidRPr="00440359">
              <w:rPr>
                <w:rFonts w:ascii="Arial" w:eastAsia="Times New Roman" w:hAnsi="Arial" w:cs="Arial"/>
                <w:sz w:val="18"/>
                <w:szCs w:val="18"/>
              </w:rPr>
              <w:br/>
            </w:r>
            <w:r w:rsidRPr="00440359">
              <w:rPr>
                <w:rFonts w:ascii="Arial" w:eastAsia="Times New Roman" w:hAnsi="Arial" w:cs="Arial"/>
                <w:sz w:val="18"/>
                <w:szCs w:val="18"/>
              </w:rPr>
              <w:br/>
              <w:t xml:space="preserve">Is a UCP (MBE/WBE Status) certification from a company’s home state recognized by the SBO for the Commonwealth as an SDB, and would the certificate comply as a valid certification document?  </w:t>
            </w:r>
            <w:r w:rsidRPr="00440359">
              <w:rPr>
                <w:rFonts w:ascii="Arial" w:eastAsia="Times New Roman" w:hAnsi="Arial" w:cs="Arial"/>
                <w:sz w:val="18"/>
                <w:szCs w:val="18"/>
              </w:rPr>
              <w:br/>
            </w:r>
            <w:r w:rsidRPr="00440359">
              <w:rPr>
                <w:rFonts w:ascii="Arial" w:eastAsia="Times New Roman" w:hAnsi="Arial" w:cs="Arial"/>
                <w:sz w:val="18"/>
                <w:szCs w:val="18"/>
              </w:rPr>
              <w:br/>
              <w:t>Is a State approved MSDC certification from any state recognized by the SBO for the Commonwealth as an SDB, and would the certificate comply as a valid certification document?</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Per section 1-13 of the RFP “A Small Diverse Businesses is a DGS-verified minority-owned business, woman-owned business, veteran-owned business or service-disabled veteran-owned business.”  The Department’s directory of BSBO-verified minority, women, veteran and service disabled veteran-owned businesses can be accessed from:  Searching for Small Diverse Businesses.</w:t>
            </w:r>
            <w:r w:rsidRPr="00440359">
              <w:rPr>
                <w:rFonts w:ascii="Arial" w:eastAsia="Times New Roman" w:hAnsi="Arial" w:cs="Arial"/>
                <w:sz w:val="18"/>
                <w:szCs w:val="18"/>
              </w:rPr>
              <w:br/>
            </w:r>
            <w:r w:rsidRPr="00440359">
              <w:rPr>
                <w:rFonts w:ascii="Arial" w:eastAsia="Times New Roman" w:hAnsi="Arial" w:cs="Arial"/>
                <w:sz w:val="18"/>
                <w:szCs w:val="18"/>
              </w:rPr>
              <w:br/>
              <w:t>Per section II-9 of the RFP; “For Offerors to receive credit for being a Small Diverse Business or for subcontracting with a Small Diverse Business (including purchasing supplies and/or services through a purchase agreement), an Offeror must include proof of Small Diverse Business qualification in the Small Diverse Business participation submittal with the of the proposal.  A Small Diverse Business verified by BSBO as a Small Diverse Business must provide a photocopy of their verification letter.</w:t>
            </w:r>
            <w:r w:rsidRPr="00440359">
              <w:rPr>
                <w:rFonts w:ascii="Arial" w:eastAsia="Times New Roman" w:hAnsi="Arial" w:cs="Arial"/>
                <w:sz w:val="18"/>
                <w:szCs w:val="18"/>
              </w:rPr>
              <w:br/>
              <w:t>UCP and MSDC are two of the five third party certifiers that BSBO uses to verify Small Diverse Businesses.   Verification by BSBO is required for a business to be recognized by the Commonwealth as a Small Diverse Businesses.  UCP or MSDC certification documents must be submitted to DGS for verification.</w:t>
            </w:r>
            <w:r w:rsidRPr="00440359">
              <w:rPr>
                <w:rFonts w:ascii="Arial" w:eastAsia="Times New Roman" w:hAnsi="Arial" w:cs="Arial"/>
                <w:sz w:val="18"/>
                <w:szCs w:val="18"/>
              </w:rPr>
              <w:br/>
              <w:t xml:space="preserve">For those companies interested in learning more on how a company can become a DGS verified small diverse business please click this link, </w:t>
            </w:r>
            <w:hyperlink r:id="rId18" w:history="1">
              <w:r w:rsidRPr="00C669D8">
                <w:rPr>
                  <w:rStyle w:val="Hyperlink"/>
                  <w:rFonts w:ascii="Arial" w:eastAsia="Times New Roman" w:hAnsi="Arial" w:cs="Arial"/>
                  <w:sz w:val="18"/>
                  <w:szCs w:val="18"/>
                </w:rPr>
                <w:t>http://www.portal.state.pa.us/portal/server.pt?open=512&amp;objID=1359&amp;mode=2</w:t>
              </w:r>
            </w:hyperlink>
            <w:r w:rsidRPr="00440359">
              <w:rPr>
                <w:rFonts w:ascii="Arial" w:eastAsia="Times New Roman" w:hAnsi="Arial" w:cs="Arial"/>
                <w:sz w:val="18"/>
                <w:szCs w:val="18"/>
              </w:rPr>
              <w:t>.</w:t>
            </w:r>
          </w:p>
        </w:tc>
      </w:tr>
      <w:tr w:rsidR="00182FE3" w:rsidRPr="00440359" w:rsidTr="006613CA">
        <w:trPr>
          <w:trHeight w:val="800"/>
        </w:trPr>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28</w:t>
            </w:r>
          </w:p>
        </w:tc>
        <w:tc>
          <w:tcPr>
            <w:tcW w:w="1387" w:type="dxa"/>
            <w:tcBorders>
              <w:top w:val="single" w:sz="4" w:space="0" w:color="auto"/>
              <w:left w:val="nil"/>
              <w:bottom w:val="single" w:sz="4" w:space="0" w:color="auto"/>
              <w:right w:val="single" w:sz="4" w:space="0" w:color="auto"/>
            </w:tcBorders>
            <w:shd w:val="clear" w:color="auto" w:fill="auto"/>
            <w:vAlign w:val="center"/>
            <w:hideMark/>
          </w:tcPr>
          <w:p w:rsidR="00182FE3" w:rsidRPr="00440359" w:rsidRDefault="00D032EC" w:rsidP="00182FE3">
            <w:pPr>
              <w:jc w:val="center"/>
              <w:rPr>
                <w:rFonts w:ascii="Arial" w:eastAsia="Times New Roman" w:hAnsi="Arial" w:cs="Arial"/>
                <w:sz w:val="18"/>
                <w:szCs w:val="18"/>
              </w:rPr>
            </w:pPr>
            <w:r w:rsidRPr="00440359">
              <w:rPr>
                <w:rFonts w:ascii="Arial" w:eastAsia="Times New Roman" w:hAnsi="Arial" w:cs="Arial"/>
                <w:sz w:val="18"/>
                <w:szCs w:val="18"/>
              </w:rPr>
              <w:t>RFP and Schedule F</w:t>
            </w:r>
          </w:p>
        </w:tc>
        <w:tc>
          <w:tcPr>
            <w:tcW w:w="1407" w:type="dxa"/>
            <w:tcBorders>
              <w:top w:val="single" w:sz="4" w:space="0" w:color="auto"/>
              <w:left w:val="nil"/>
              <w:bottom w:val="single" w:sz="4" w:space="0" w:color="auto"/>
              <w:right w:val="single" w:sz="4" w:space="0" w:color="auto"/>
            </w:tcBorders>
            <w:shd w:val="clear" w:color="auto" w:fill="auto"/>
            <w:vAlign w:val="center"/>
            <w:hideMark/>
          </w:tcPr>
          <w:p w:rsidR="00182FE3" w:rsidRPr="00440359" w:rsidRDefault="00D032EC"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rsidR="00182FE3" w:rsidRPr="00440359" w:rsidRDefault="00D032EC"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single" w:sz="4" w:space="0" w:color="auto"/>
              <w:left w:val="nil"/>
              <w:bottom w:val="single" w:sz="4" w:space="0" w:color="auto"/>
              <w:right w:val="single" w:sz="4" w:space="0" w:color="auto"/>
            </w:tcBorders>
            <w:shd w:val="clear" w:color="auto" w:fill="auto"/>
            <w:hideMark/>
          </w:tcPr>
          <w:p w:rsidR="00182FE3" w:rsidRPr="00440359" w:rsidRDefault="00D032EC" w:rsidP="00182FE3">
            <w:pPr>
              <w:rPr>
                <w:rFonts w:ascii="Arial" w:eastAsia="Times New Roman" w:hAnsi="Arial" w:cs="Arial"/>
                <w:sz w:val="18"/>
                <w:szCs w:val="18"/>
              </w:rPr>
            </w:pPr>
            <w:r w:rsidRPr="00440359">
              <w:rPr>
                <w:rFonts w:ascii="Arial" w:eastAsia="Times New Roman" w:hAnsi="Arial" w:cs="Arial"/>
                <w:sz w:val="18"/>
                <w:szCs w:val="18"/>
              </w:rPr>
              <w:t xml:space="preserve">The Commonwealth has specified a substantial amount of Unisys mainframe services that an Offeror must provide within the DCCS RFP.  However, in order for an Offeror to have the ability to deliver such mainframe services, the Offeror must purchase Unisys hardware, software, and maintenance services.   </w:t>
            </w:r>
            <w:r w:rsidRPr="00440359">
              <w:rPr>
                <w:rFonts w:ascii="Arial" w:eastAsia="Times New Roman" w:hAnsi="Arial" w:cs="Arial"/>
                <w:sz w:val="18"/>
                <w:szCs w:val="18"/>
              </w:rPr>
              <w:br/>
            </w:r>
            <w:r w:rsidRPr="00440359">
              <w:rPr>
                <w:rFonts w:ascii="Arial" w:eastAsia="Times New Roman" w:hAnsi="Arial" w:cs="Arial"/>
                <w:sz w:val="18"/>
                <w:szCs w:val="18"/>
              </w:rPr>
              <w:br/>
              <w:t xml:space="preserve">Given the magnitude of the required Unisys hardware, software and maintenance services contemplated by the RFP, and the high probability that Unisys will compete for the RFP, Unisys has the motive and opportunity to quote much higher prices to its RFP competitors than its own price for the same hardware , software, and maintenance services, and any such anti-competitive behavior will result in an unnecessarily higher cost to the Commonwealth for the services contemplated by the RFP, create an uneven playing field for the RFP competitors, and result in a lack of meaningful competition.  </w:t>
            </w:r>
            <w:r w:rsidRPr="00440359">
              <w:rPr>
                <w:rFonts w:ascii="Arial" w:eastAsia="Times New Roman" w:hAnsi="Arial" w:cs="Arial"/>
                <w:sz w:val="18"/>
                <w:szCs w:val="18"/>
              </w:rPr>
              <w:br/>
            </w:r>
            <w:r w:rsidRPr="00440359">
              <w:rPr>
                <w:rFonts w:ascii="Arial" w:eastAsia="Times New Roman" w:hAnsi="Arial" w:cs="Arial"/>
                <w:sz w:val="18"/>
                <w:szCs w:val="18"/>
              </w:rPr>
              <w:br/>
              <w:t>Similarly, Unisys has the motive and opportunity to adversely impact the ability of its RFP competitors to prepare responsive proposals by prohibiting its resellers from providing quotes for Unisys hardware , software, and maintenance services, and by not providing timely and firm responses on direct quotes for such Unisys hardware, software and maintenance services.</w:t>
            </w:r>
            <w:r w:rsidRPr="00440359">
              <w:rPr>
                <w:rFonts w:ascii="Arial" w:eastAsia="Times New Roman" w:hAnsi="Arial" w:cs="Arial"/>
                <w:sz w:val="18"/>
                <w:szCs w:val="18"/>
              </w:rPr>
              <w:br/>
            </w:r>
            <w:r w:rsidRPr="00440359">
              <w:rPr>
                <w:rFonts w:ascii="Arial" w:eastAsia="Times New Roman" w:hAnsi="Arial" w:cs="Arial"/>
                <w:sz w:val="18"/>
                <w:szCs w:val="18"/>
              </w:rPr>
              <w:br/>
              <w:t xml:space="preserve">In the interest of ensuring the best price/value for the Commonwealth, creating an even field for all RFP competitors, and fostering a competitive procurement process, will the Commonwealth take the following actions:  </w:t>
            </w:r>
            <w:r w:rsidRPr="00440359">
              <w:rPr>
                <w:rFonts w:ascii="Arial" w:eastAsia="Times New Roman" w:hAnsi="Arial" w:cs="Arial"/>
                <w:sz w:val="18"/>
                <w:szCs w:val="18"/>
              </w:rPr>
              <w:br/>
            </w:r>
            <w:r w:rsidRPr="00440359">
              <w:rPr>
                <w:rFonts w:ascii="Arial" w:eastAsia="Times New Roman" w:hAnsi="Arial" w:cs="Arial"/>
                <w:sz w:val="18"/>
                <w:szCs w:val="18"/>
              </w:rPr>
              <w:br/>
              <w:t xml:space="preserve">1.  Negotiate common pricing with Unisys for all hardware, software and maintenance services contemplated by the RFP, and require all Offerors – including Unisys -- to leverage such common pricing for evaluation purposes?  </w:t>
            </w:r>
            <w:r w:rsidRPr="00440359">
              <w:rPr>
                <w:rFonts w:ascii="Arial" w:eastAsia="Times New Roman" w:hAnsi="Arial" w:cs="Arial"/>
                <w:sz w:val="18"/>
                <w:szCs w:val="18"/>
              </w:rPr>
              <w:br/>
            </w:r>
            <w:r w:rsidRPr="00440359">
              <w:rPr>
                <w:rFonts w:ascii="Arial" w:eastAsia="Times New Roman" w:hAnsi="Arial" w:cs="Arial"/>
                <w:sz w:val="18"/>
                <w:szCs w:val="18"/>
              </w:rPr>
              <w:br/>
              <w:t>-or, alternatively -</w:t>
            </w:r>
            <w:r w:rsidRPr="00440359">
              <w:rPr>
                <w:rFonts w:ascii="Arial" w:eastAsia="Times New Roman" w:hAnsi="Arial" w:cs="Arial"/>
                <w:sz w:val="18"/>
                <w:szCs w:val="18"/>
              </w:rPr>
              <w:br/>
            </w:r>
            <w:r w:rsidRPr="00440359">
              <w:rPr>
                <w:rFonts w:ascii="Arial" w:eastAsia="Times New Roman" w:hAnsi="Arial" w:cs="Arial"/>
                <w:sz w:val="18"/>
                <w:szCs w:val="18"/>
              </w:rPr>
              <w:br/>
              <w:t>2.  Amend the RFP to exclude the Unisys mainframe services (and therefore the Unisys hardware, software, and maintenance services costs) from the cost evaluation?</w:t>
            </w:r>
            <w:r w:rsidRPr="00440359">
              <w:rPr>
                <w:rFonts w:ascii="Arial" w:eastAsia="Times New Roman" w:hAnsi="Arial" w:cs="Arial"/>
                <w:sz w:val="18"/>
                <w:szCs w:val="18"/>
              </w:rPr>
              <w:br/>
            </w:r>
            <w:r w:rsidRPr="00440359">
              <w:rPr>
                <w:rFonts w:ascii="Arial" w:eastAsia="Times New Roman" w:hAnsi="Arial" w:cs="Arial"/>
                <w:sz w:val="18"/>
                <w:szCs w:val="18"/>
              </w:rPr>
              <w:br/>
              <w:t>-or, alternatively -</w:t>
            </w:r>
            <w:r w:rsidRPr="00440359">
              <w:rPr>
                <w:rFonts w:ascii="Arial" w:eastAsia="Times New Roman" w:hAnsi="Arial" w:cs="Arial"/>
                <w:sz w:val="18"/>
                <w:szCs w:val="18"/>
              </w:rPr>
              <w:br/>
            </w:r>
            <w:r w:rsidRPr="00440359">
              <w:rPr>
                <w:rFonts w:ascii="Arial" w:eastAsia="Times New Roman" w:hAnsi="Arial" w:cs="Arial"/>
                <w:sz w:val="18"/>
                <w:szCs w:val="18"/>
              </w:rPr>
              <w:br/>
              <w:t xml:space="preserve">3.  Such other actions as the Commonwealth deems necessary and appropriate to create a level playing field and a competitive procurement with respect to the Unisys mainframe services (and therefore the Unisys hardware, software, and maintenance services costs) contemplated by the RFP? </w:t>
            </w:r>
          </w:p>
        </w:tc>
        <w:tc>
          <w:tcPr>
            <w:tcW w:w="6515" w:type="dxa"/>
            <w:tcBorders>
              <w:top w:val="single" w:sz="4" w:space="0" w:color="auto"/>
              <w:left w:val="nil"/>
              <w:bottom w:val="single" w:sz="4" w:space="0" w:color="auto"/>
              <w:right w:val="single" w:sz="4" w:space="0" w:color="auto"/>
            </w:tcBorders>
            <w:shd w:val="clear" w:color="auto" w:fill="auto"/>
            <w:hideMark/>
          </w:tcPr>
          <w:p w:rsidR="00182FE3" w:rsidRPr="00440359" w:rsidRDefault="00D032EC" w:rsidP="00182FE3">
            <w:pPr>
              <w:rPr>
                <w:rFonts w:ascii="Arial" w:eastAsia="Times New Roman" w:hAnsi="Arial" w:cs="Arial"/>
                <w:sz w:val="18"/>
                <w:szCs w:val="18"/>
              </w:rPr>
            </w:pPr>
            <w:r w:rsidRPr="00440359">
              <w:rPr>
                <w:rFonts w:ascii="Arial" w:eastAsia="Times New Roman" w:hAnsi="Arial" w:cs="Arial"/>
                <w:sz w:val="18"/>
                <w:szCs w:val="18"/>
              </w:rPr>
              <w:t>Offerors should submit their best proposal based on the requirements of the RFP as written.</w:t>
            </w:r>
          </w:p>
        </w:tc>
      </w:tr>
      <w:tr w:rsidR="00182FE3" w:rsidRPr="00440359" w:rsidTr="00EE45CA">
        <w:trPr>
          <w:trHeight w:val="240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29</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Worksheet labeled “1. Volumetrics”</w:t>
            </w:r>
            <w:r w:rsidRPr="00440359">
              <w:rPr>
                <w:rFonts w:ascii="Arial" w:eastAsia="Times New Roman" w:hAnsi="Arial" w:cs="Arial"/>
                <w:sz w:val="18"/>
                <w:szCs w:val="18"/>
              </w:rPr>
              <w:br/>
            </w:r>
            <w:r w:rsidRPr="00440359">
              <w:rPr>
                <w:rFonts w:ascii="Arial" w:eastAsia="Times New Roman" w:hAnsi="Arial" w:cs="Arial"/>
                <w:sz w:val="18"/>
                <w:szCs w:val="18"/>
              </w:rPr>
              <w:br/>
              <w:t>Subsection labeled Mainframe Services (4)</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 5</w:t>
            </w:r>
            <w:r w:rsidRPr="00440359">
              <w:rPr>
                <w:rFonts w:ascii="Arial" w:eastAsia="Times New Roman" w:hAnsi="Arial" w:cs="Arial"/>
                <w:sz w:val="18"/>
                <w:szCs w:val="18"/>
              </w:rPr>
              <w:br/>
              <w:t>or</w:t>
            </w:r>
            <w:r w:rsidRPr="00440359">
              <w:rPr>
                <w:rFonts w:ascii="Arial" w:eastAsia="Times New Roman" w:hAnsi="Arial" w:cs="Arial"/>
                <w:sz w:val="18"/>
                <w:szCs w:val="18"/>
              </w:rPr>
              <w:br/>
              <w:t>Row 203-231</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IBM Mainframe Config - 1, IBM Mainframe Config - 2, IBM Mainframe Config – 3, IBM AS400 Config 1, IBM AS400 Config 2 are shown in Platinum Tier.  Attaining a Service Level of 99.999% will require significant enhancements (such as dual site redundancy) to the infrastructure currently used to support the Commonwealth.  Is it the Commonwealth’s intention to increase investment in a mature platform and application environment that appears to currently be meeting your needs?  </w:t>
            </w:r>
          </w:p>
        </w:tc>
        <w:tc>
          <w:tcPr>
            <w:tcW w:w="6515" w:type="dxa"/>
            <w:tcBorders>
              <w:top w:val="nil"/>
              <w:left w:val="nil"/>
              <w:bottom w:val="single" w:sz="4" w:space="0" w:color="auto"/>
              <w:right w:val="single" w:sz="4" w:space="0" w:color="auto"/>
            </w:tcBorders>
            <w:shd w:val="clear" w:color="000000" w:fill="FFFFFF"/>
            <w:hideMark/>
          </w:tcPr>
          <w:p w:rsidR="00125D54" w:rsidRPr="00440359" w:rsidRDefault="00CD4A9F">
            <w:pPr>
              <w:rPr>
                <w:rFonts w:ascii="Arial" w:eastAsia="Times New Roman" w:hAnsi="Arial" w:cs="Arial"/>
                <w:sz w:val="18"/>
                <w:szCs w:val="18"/>
              </w:rPr>
            </w:pPr>
            <w:r w:rsidRPr="00440359">
              <w:rPr>
                <w:rFonts w:ascii="Arial" w:eastAsia="Times New Roman" w:hAnsi="Arial" w:cs="Arial"/>
                <w:sz w:val="18"/>
                <w:szCs w:val="18"/>
              </w:rPr>
              <w:t xml:space="preserve">The Commonwealth has established multiple scenarios of infrastructure configurations specifically for pricing evaluation, as set forth in Schedule I.  Actual volumes may vary.  </w:t>
            </w:r>
            <w:r w:rsidR="00182FE3" w:rsidRPr="00440359">
              <w:rPr>
                <w:rFonts w:ascii="Arial" w:eastAsia="Times New Roman" w:hAnsi="Arial" w:cs="Arial"/>
                <w:sz w:val="18"/>
                <w:szCs w:val="18"/>
              </w:rPr>
              <w:t xml:space="preserve">Offerors should propose their best solution for the services required in the RFP.   </w:t>
            </w:r>
          </w:p>
        </w:tc>
      </w:tr>
      <w:tr w:rsidR="00182FE3" w:rsidRPr="00440359" w:rsidTr="00EE45CA">
        <w:trPr>
          <w:trHeight w:val="7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 and Schedule 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In the event of inconsistencies with dates between Schedule D and Schedule K, which document takes precedence?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K has been revised to remove known inconsistencies.  In the event of an inconsistency, Schedule D takes precedence.  </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Appendix A</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Section 40</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 63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terms Contractor Tools and Contractor Proprietary Software are used in Section 40 which deals with Proprietary Rights, yet neither term is defined in the contract.  What is the definition of those terms?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term “Contractor Proprietary Software” has been deleted from Appendix A and replaced with “Contractor Software.”  A definition of “Contractor Tools” has been added to Schedule A.</w:t>
            </w:r>
          </w:p>
        </w:tc>
      </w:tr>
      <w:tr w:rsidR="00182FE3" w:rsidRPr="00440359" w:rsidTr="00EE45CA">
        <w:trPr>
          <w:trHeight w:val="21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Appendix A</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Section 8</w:t>
            </w:r>
            <w:r w:rsidRPr="00440359">
              <w:rPr>
                <w:rFonts w:ascii="Arial" w:eastAsia="Times New Roman" w:hAnsi="Arial" w:cs="Arial"/>
                <w:sz w:val="18"/>
                <w:szCs w:val="18"/>
              </w:rPr>
              <w:br/>
            </w:r>
            <w:r w:rsidRPr="00440359">
              <w:rPr>
                <w:rFonts w:ascii="Arial" w:eastAsia="Times New Roman" w:hAnsi="Arial" w:cs="Arial"/>
                <w:sz w:val="18"/>
                <w:szCs w:val="18"/>
              </w:rPr>
              <w:br/>
              <w:t>Section 40</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Pages 9-10</w:t>
            </w:r>
            <w:r w:rsidRPr="00440359">
              <w:rPr>
                <w:rFonts w:ascii="Arial" w:eastAsia="Times New Roman" w:hAnsi="Arial" w:cs="Arial"/>
                <w:sz w:val="18"/>
                <w:szCs w:val="18"/>
              </w:rPr>
              <w:br/>
            </w:r>
            <w:r w:rsidRPr="00440359">
              <w:rPr>
                <w:rFonts w:ascii="Arial" w:eastAsia="Times New Roman" w:hAnsi="Arial" w:cs="Arial"/>
                <w:sz w:val="18"/>
                <w:szCs w:val="18"/>
              </w:rPr>
              <w:br/>
              <w:t>Page 63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Would software from a Contractor that is commercially available to the Commonwealth and other bidders be considered Third Party Software or Contractor Proprietary Software?  If such software is necessary to support the existing application environment, it should be considered Third Party Software for consistency when comparing bids.  Most of the software in Exhibits B.7 and B.8 fit into this category.</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5D70B4">
            <w:pPr>
              <w:rPr>
                <w:rFonts w:ascii="Arial" w:eastAsia="Times New Roman" w:hAnsi="Arial" w:cs="Arial"/>
                <w:sz w:val="18"/>
                <w:szCs w:val="18"/>
              </w:rPr>
            </w:pPr>
            <w:r w:rsidRPr="00440359">
              <w:rPr>
                <w:rFonts w:ascii="Arial" w:eastAsia="Times New Roman" w:hAnsi="Arial" w:cs="Arial"/>
                <w:sz w:val="18"/>
                <w:szCs w:val="18"/>
              </w:rPr>
              <w:t xml:space="preserve">Software from a contractor that is commercially available to the Commonwealth and other </w:t>
            </w:r>
            <w:r w:rsidR="005D70B4" w:rsidRPr="00440359">
              <w:rPr>
                <w:rFonts w:ascii="Arial" w:eastAsia="Times New Roman" w:hAnsi="Arial" w:cs="Arial"/>
                <w:sz w:val="18"/>
                <w:szCs w:val="18"/>
              </w:rPr>
              <w:t xml:space="preserve">Offerors </w:t>
            </w:r>
            <w:r w:rsidRPr="00440359">
              <w:rPr>
                <w:rFonts w:ascii="Arial" w:eastAsia="Times New Roman" w:hAnsi="Arial" w:cs="Arial"/>
                <w:sz w:val="18"/>
                <w:szCs w:val="18"/>
              </w:rPr>
              <w:t>should be considered Third Party Software.</w:t>
            </w:r>
            <w:r w:rsidR="00F97BAF" w:rsidRPr="00440359">
              <w:rPr>
                <w:rFonts w:ascii="Arial" w:eastAsia="Times New Roman" w:hAnsi="Arial" w:cs="Arial"/>
                <w:sz w:val="18"/>
                <w:szCs w:val="18"/>
              </w:rPr>
              <w:t xml:space="preserve">  Appendix A and Schedule A have been revised to remove references to “Contractor Proprietary Software.”</w:t>
            </w:r>
          </w:p>
        </w:tc>
      </w:tr>
      <w:tr w:rsidR="00182FE3" w:rsidRPr="00440359" w:rsidTr="00EE45CA">
        <w:trPr>
          <w:trHeight w:val="38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6100022698 - Master Questions and Answers (4.16.13)</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Item 60</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 135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Are SVCs being used in any data centers other than those identified in the response?  If yes:</w:t>
            </w:r>
            <w:r w:rsidRPr="00440359">
              <w:rPr>
                <w:rFonts w:ascii="Arial" w:eastAsia="Times New Roman" w:hAnsi="Arial" w:cs="Arial"/>
                <w:sz w:val="18"/>
                <w:szCs w:val="18"/>
              </w:rPr>
              <w:br/>
              <w:t xml:space="preserve">1) Which data centers? </w:t>
            </w:r>
            <w:r w:rsidRPr="00440359">
              <w:rPr>
                <w:rFonts w:ascii="Arial" w:eastAsia="Times New Roman" w:hAnsi="Arial" w:cs="Arial"/>
                <w:sz w:val="18"/>
                <w:szCs w:val="18"/>
              </w:rPr>
              <w:br/>
              <w:t>2) How much usable storage being virtualized by the SVCs?</w:t>
            </w:r>
            <w:r w:rsidRPr="00440359">
              <w:rPr>
                <w:rFonts w:ascii="Arial" w:eastAsia="Times New Roman" w:hAnsi="Arial" w:cs="Arial"/>
                <w:sz w:val="18"/>
                <w:szCs w:val="18"/>
              </w:rPr>
              <w:br/>
              <w:t>3) Are the SVCs supporting multiple tiers of storage?</w:t>
            </w:r>
            <w:r w:rsidRPr="00440359">
              <w:rPr>
                <w:rFonts w:ascii="Arial" w:eastAsia="Times New Roman" w:hAnsi="Arial" w:cs="Arial"/>
                <w:sz w:val="18"/>
                <w:szCs w:val="18"/>
              </w:rPr>
              <w:br/>
              <w:t>4) Are the SVCs supporting real-time compression of block storage?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D62287">
            <w:pPr>
              <w:rPr>
                <w:rFonts w:ascii="Arial" w:eastAsia="Times New Roman" w:hAnsi="Arial" w:cs="Arial"/>
                <w:sz w:val="18"/>
                <w:szCs w:val="18"/>
              </w:rPr>
            </w:pPr>
            <w:r w:rsidRPr="00440359">
              <w:rPr>
                <w:rFonts w:ascii="Arial" w:eastAsia="Times New Roman" w:hAnsi="Arial" w:cs="Arial"/>
                <w:sz w:val="18"/>
                <w:szCs w:val="18"/>
              </w:rPr>
              <w:br/>
              <w:t>1)  DLI uses SVCs.</w:t>
            </w:r>
            <w:r w:rsidR="00C522A9">
              <w:rPr>
                <w:rFonts w:ascii="Arial" w:eastAsia="Times New Roman" w:hAnsi="Arial" w:cs="Arial"/>
                <w:sz w:val="18"/>
                <w:szCs w:val="18"/>
              </w:rPr>
              <w:t xml:space="preserve"> IES and DOR do not use SVCs.</w:t>
            </w:r>
            <w:r w:rsidR="00C522A9">
              <w:rPr>
                <w:rFonts w:ascii="Arial" w:eastAsia="Times New Roman" w:hAnsi="Arial" w:cs="Arial"/>
                <w:sz w:val="18"/>
                <w:szCs w:val="18"/>
              </w:rPr>
              <w:br/>
            </w:r>
            <w:r w:rsidR="00C522A9">
              <w:rPr>
                <w:rFonts w:ascii="Arial" w:eastAsia="Times New Roman" w:hAnsi="Arial" w:cs="Arial"/>
                <w:sz w:val="18"/>
                <w:szCs w:val="18"/>
              </w:rPr>
              <w:br/>
            </w:r>
            <w:r w:rsidRPr="00440359">
              <w:rPr>
                <w:rFonts w:ascii="Arial" w:eastAsia="Times New Roman" w:hAnsi="Arial" w:cs="Arial"/>
                <w:sz w:val="18"/>
                <w:szCs w:val="18"/>
              </w:rPr>
              <w:t>2)  Currently 8TB is virtualized using SVC.  L&amp;I plans to increase this to 43TB.</w:t>
            </w:r>
            <w:r w:rsidRPr="00440359">
              <w:rPr>
                <w:rFonts w:ascii="Arial" w:eastAsia="Times New Roman" w:hAnsi="Arial" w:cs="Arial"/>
                <w:sz w:val="18"/>
                <w:szCs w:val="18"/>
              </w:rPr>
              <w:br/>
            </w:r>
            <w:r w:rsidRPr="00440359">
              <w:rPr>
                <w:rFonts w:ascii="Arial" w:eastAsia="Times New Roman" w:hAnsi="Arial" w:cs="Arial"/>
                <w:sz w:val="18"/>
                <w:szCs w:val="18"/>
              </w:rPr>
              <w:br/>
              <w:t>3) Yes, DS8000 class and XIV class storage.</w:t>
            </w:r>
            <w:r w:rsidRPr="00440359">
              <w:rPr>
                <w:rFonts w:ascii="Arial" w:eastAsia="Times New Roman" w:hAnsi="Arial" w:cs="Arial"/>
                <w:sz w:val="18"/>
                <w:szCs w:val="18"/>
              </w:rPr>
              <w:br/>
            </w:r>
            <w:r w:rsidRPr="00440359">
              <w:rPr>
                <w:rFonts w:ascii="Arial" w:eastAsia="Times New Roman" w:hAnsi="Arial" w:cs="Arial"/>
                <w:sz w:val="18"/>
                <w:szCs w:val="18"/>
              </w:rPr>
              <w:br/>
              <w:t>4) No.</w:t>
            </w:r>
            <w:r w:rsidRPr="00440359">
              <w:rPr>
                <w:rFonts w:ascii="Arial" w:eastAsia="Times New Roman" w:hAnsi="Arial" w:cs="Arial"/>
                <w:sz w:val="18"/>
                <w:szCs w:val="18"/>
              </w:rPr>
              <w:br/>
            </w:r>
            <w:r w:rsidRPr="00440359">
              <w:rPr>
                <w:rFonts w:ascii="Arial" w:eastAsia="Times New Roman" w:hAnsi="Arial" w:cs="Arial"/>
                <w:sz w:val="18"/>
                <w:szCs w:val="18"/>
              </w:rPr>
              <w:br/>
              <w:t>Any additional information regarding SVCs will be documented as part of the discovery process in transition planning.</w:t>
            </w:r>
          </w:p>
        </w:tc>
      </w:tr>
      <w:tr w:rsidR="00182FE3" w:rsidRPr="00440359" w:rsidTr="00EE45CA">
        <w:trPr>
          <w:trHeight w:val="33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34</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6100022698 - Master Questions and Answers (4.16.13)</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Item 2</w:t>
            </w:r>
            <w:r w:rsidRPr="00440359">
              <w:rPr>
                <w:rFonts w:ascii="Arial" w:eastAsia="Times New Roman" w:hAnsi="Arial" w:cs="Arial"/>
                <w:sz w:val="18"/>
                <w:szCs w:val="18"/>
              </w:rPr>
              <w:br/>
              <w:t>Second question</w:t>
            </w:r>
          </w:p>
        </w:tc>
        <w:tc>
          <w:tcPr>
            <w:tcW w:w="1381" w:type="dxa"/>
            <w:tcBorders>
              <w:top w:val="nil"/>
              <w:left w:val="nil"/>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 114</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 Is it correct to assume that all Transition services will be the responsibility of the incumbent and that no cost should be included in the pricing schedule?  </w:t>
            </w:r>
            <w:r w:rsidRPr="00440359">
              <w:rPr>
                <w:rFonts w:ascii="Arial" w:eastAsia="Times New Roman" w:hAnsi="Arial" w:cs="Arial"/>
                <w:sz w:val="18"/>
                <w:szCs w:val="18"/>
              </w:rPr>
              <w:br/>
              <w:t xml:space="preserve">b) Could a bidder assume that all required Transition work will not need to be priced or that much of the work will be completed by the incumbent? </w:t>
            </w:r>
            <w:r w:rsidRPr="00440359">
              <w:rPr>
                <w:rFonts w:ascii="Arial" w:eastAsia="Times New Roman" w:hAnsi="Arial" w:cs="Arial"/>
                <w:sz w:val="18"/>
                <w:szCs w:val="18"/>
              </w:rPr>
              <w:br/>
              <w:t>c) If not, could the Commonwealth please clarify so that bidders do not incorrectly assume scope to be completed by the incumbent that actually should be included and evaluated as part of the RFP response?</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 No.</w:t>
            </w:r>
            <w:r w:rsidRPr="00440359">
              <w:rPr>
                <w:rFonts w:ascii="Arial" w:eastAsia="Times New Roman" w:hAnsi="Arial" w:cs="Arial"/>
                <w:sz w:val="18"/>
                <w:szCs w:val="18"/>
              </w:rPr>
              <w:br/>
            </w:r>
            <w:r w:rsidRPr="00440359">
              <w:rPr>
                <w:rFonts w:ascii="Arial" w:eastAsia="Times New Roman" w:hAnsi="Arial" w:cs="Arial"/>
                <w:sz w:val="18"/>
                <w:szCs w:val="18"/>
              </w:rPr>
              <w:br/>
              <w:t>b) Offerors must provide pricing for transition. See Schedule I tab 3 Transition Charges.  Offerors should not assume that much of the work will be completed by the incumbent.</w:t>
            </w:r>
            <w:r w:rsidRPr="00440359">
              <w:rPr>
                <w:rFonts w:ascii="Arial" w:eastAsia="Times New Roman" w:hAnsi="Arial" w:cs="Arial"/>
                <w:sz w:val="18"/>
                <w:szCs w:val="18"/>
              </w:rPr>
              <w:br/>
            </w:r>
            <w:r w:rsidRPr="00440359">
              <w:rPr>
                <w:rFonts w:ascii="Arial" w:eastAsia="Times New Roman" w:hAnsi="Arial" w:cs="Arial"/>
                <w:sz w:val="18"/>
                <w:szCs w:val="18"/>
              </w:rPr>
              <w:br/>
              <w:t xml:space="preserve">c) </w:t>
            </w:r>
            <w:r w:rsidR="00743835" w:rsidRPr="00440359">
              <w:rPr>
                <w:rFonts w:ascii="Arial" w:eastAsia="Times New Roman" w:hAnsi="Arial" w:cs="Arial"/>
                <w:sz w:val="18"/>
                <w:szCs w:val="18"/>
              </w:rPr>
              <w:t>Offerors should not assume all transition assistance as proposed or assumed necessary will be provided by the incumbent.   The selected Offeror will not be responsible to pay for transition assistance provided by the incumbent.  For purposes of submitting a proposal, Offerors should assume transition assistance provided by the incumbent will be minimal.  The selected Offeror is responsible to fund all other transition costs.</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 Offeror Pricing Forms (4-16-13)</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53</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Regarding the zLinux storage, would the Commonwealth please tell us how many TB’s are replicated for DR?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volume of data to be replicated will vary by the systems/applications. Offerors should only include pricing for the Production and DR servers for the configuration as defined in Schedule I.  Offerors must provide SAN storage pricing in the Storage and Backup - Fully Managed section of Schedule I  on the Catalog of Services tab.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 Offeror Pricing Forms (4-16-13)</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55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Regarding the iSeries/AS400 storage, would the Commomwealth please tell us how many TB’s are replicated for DR?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volume of data to be replicated will vary by the systems/applications. Offerors should only include pricing for the Production and DR servers for the configuration as defined in Schedule I.  Offerors must provide SAN storage pricing in the Storage and Backup - Fully Managed section of Schedule I  on the Catalog of Services tab.</w:t>
            </w:r>
          </w:p>
        </w:tc>
      </w:tr>
      <w:tr w:rsidR="00182FE3" w:rsidRPr="00440359" w:rsidTr="00EE45CA">
        <w:trPr>
          <w:trHeight w:val="24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37</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 Offeror Pricing Forms (4-16-13)</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iSeries / AS400 CPW Config 1 and Config 2</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Volumetrics Tab</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Would the Commonwealth please confirm the volume metrics for iSeries production (456  CPW) is greater than DR (1824 CPW)?</w:t>
            </w:r>
          </w:p>
        </w:tc>
        <w:tc>
          <w:tcPr>
            <w:tcW w:w="6515" w:type="dxa"/>
            <w:tcBorders>
              <w:top w:val="nil"/>
              <w:left w:val="nil"/>
              <w:bottom w:val="single" w:sz="4" w:space="0" w:color="auto"/>
              <w:right w:val="single" w:sz="4" w:space="0" w:color="auto"/>
            </w:tcBorders>
            <w:shd w:val="clear" w:color="000000" w:fill="FFFFFF"/>
            <w:hideMark/>
          </w:tcPr>
          <w:p w:rsidR="00FA7F3D" w:rsidRPr="00440359" w:rsidRDefault="00FA7F3D" w:rsidP="00FA7F3D">
            <w:pPr>
              <w:rPr>
                <w:rFonts w:ascii="Arial" w:eastAsia="Times New Roman" w:hAnsi="Arial" w:cs="Arial"/>
                <w:sz w:val="18"/>
                <w:szCs w:val="18"/>
              </w:rPr>
            </w:pPr>
            <w:r w:rsidRPr="00440359">
              <w:rPr>
                <w:rFonts w:ascii="Arial" w:eastAsia="Times New Roman" w:hAnsi="Arial" w:cs="Arial"/>
                <w:sz w:val="18"/>
                <w:szCs w:val="18"/>
              </w:rPr>
              <w:t>No, the Commonwealth cannot confirm that the volumemetrics for iSeries production (456  CPW) are greater than DR (1824 CPW) because they are two independent configurations.</w:t>
            </w:r>
          </w:p>
          <w:p w:rsidR="00743835" w:rsidRPr="00440359" w:rsidRDefault="00743835" w:rsidP="00743835">
            <w:pPr>
              <w:rPr>
                <w:rFonts w:ascii="Arial" w:eastAsia="Times New Roman" w:hAnsi="Arial" w:cs="Arial"/>
                <w:sz w:val="18"/>
                <w:szCs w:val="18"/>
              </w:rPr>
            </w:pPr>
          </w:p>
          <w:p w:rsidR="00743835" w:rsidRPr="00440359" w:rsidRDefault="00743835" w:rsidP="00743835">
            <w:pPr>
              <w:rPr>
                <w:rFonts w:ascii="Arial" w:eastAsia="Times New Roman" w:hAnsi="Arial" w:cs="Arial"/>
                <w:sz w:val="18"/>
                <w:szCs w:val="18"/>
              </w:rPr>
            </w:pPr>
            <w:r w:rsidRPr="00440359">
              <w:rPr>
                <w:rFonts w:ascii="Arial" w:eastAsia="Times New Roman" w:hAnsi="Arial" w:cs="Arial"/>
                <w:sz w:val="18"/>
                <w:szCs w:val="18"/>
              </w:rPr>
              <w:t>I</w:t>
            </w:r>
            <w:r w:rsidR="00182FE3" w:rsidRPr="00440359">
              <w:rPr>
                <w:rFonts w:ascii="Arial" w:eastAsia="Times New Roman" w:hAnsi="Arial" w:cs="Arial"/>
                <w:sz w:val="18"/>
                <w:szCs w:val="18"/>
              </w:rPr>
              <w:t xml:space="preserve">BM AS400 Config 2 is not DR for IBM AS400 Config 1. </w:t>
            </w:r>
            <w:r w:rsidRPr="00440359">
              <w:rPr>
                <w:rFonts w:ascii="Arial" w:eastAsia="Times New Roman" w:hAnsi="Arial" w:cs="Arial"/>
                <w:sz w:val="18"/>
                <w:szCs w:val="18"/>
              </w:rPr>
              <w:t xml:space="preserve">  </w:t>
            </w:r>
          </w:p>
          <w:p w:rsidR="00182FE3" w:rsidRPr="00440359" w:rsidRDefault="00182FE3" w:rsidP="00743835">
            <w:pPr>
              <w:rPr>
                <w:rFonts w:ascii="Arial" w:eastAsia="Times New Roman" w:hAnsi="Arial" w:cs="Arial"/>
                <w:sz w:val="18"/>
                <w:szCs w:val="18"/>
              </w:rPr>
            </w:pPr>
            <w:r w:rsidRPr="00440359">
              <w:rPr>
                <w:rFonts w:ascii="Arial" w:eastAsia="Times New Roman" w:hAnsi="Arial" w:cs="Arial"/>
                <w:sz w:val="18"/>
                <w:szCs w:val="18"/>
              </w:rPr>
              <w:br/>
              <w:t>IBM AS400 Config 1is for production with no DR provided.  IBM AS400 Config 2 is for production with DR provided as described "Disaster Recovery Server with a Restoral Interval of 24 hours via Backup Restoral from Backup Site’s Local SAN Storage from hourly data synchronization."</w:t>
            </w:r>
          </w:p>
        </w:tc>
      </w:tr>
      <w:tr w:rsidR="00182FE3" w:rsidRPr="00440359" w:rsidTr="001A5115">
        <w:trPr>
          <w:trHeight w:val="42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38</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 Offeror Pricing Forms (4-16-13)</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296</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Volumetrics Tab</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Pursuant to the revised Schedule I Volumetrics beginning in line 296 titled Third Party Software, is it the intention of the Commonwealth to transfer license responsibility to the offerer. If so, we respectfully request the following information for every software title to accurately price this increased scope:</w:t>
            </w:r>
            <w:r w:rsidRPr="00440359">
              <w:rPr>
                <w:rFonts w:ascii="Arial" w:eastAsia="Times New Roman" w:hAnsi="Arial" w:cs="Arial"/>
                <w:sz w:val="18"/>
                <w:szCs w:val="18"/>
              </w:rPr>
              <w:br/>
              <w:t>• Term of each license contract (list each contract if there are multiple)</w:t>
            </w:r>
            <w:r w:rsidRPr="00440359">
              <w:rPr>
                <w:rFonts w:ascii="Arial" w:eastAsia="Times New Roman" w:hAnsi="Arial" w:cs="Arial"/>
                <w:sz w:val="18"/>
                <w:szCs w:val="18"/>
              </w:rPr>
              <w:br/>
              <w:t>• Current licenses fee (list each contract if there are multiple)</w:t>
            </w:r>
            <w:r w:rsidRPr="00440359">
              <w:rPr>
                <w:rFonts w:ascii="Arial" w:eastAsia="Times New Roman" w:hAnsi="Arial" w:cs="Arial"/>
                <w:sz w:val="18"/>
                <w:szCs w:val="18"/>
              </w:rPr>
              <w:br/>
              <w:t>• Annual Maintenance contract fee (list each contract if there are multiple)</w:t>
            </w:r>
            <w:r w:rsidRPr="00440359">
              <w:rPr>
                <w:rFonts w:ascii="Arial" w:eastAsia="Times New Roman" w:hAnsi="Arial" w:cs="Arial"/>
                <w:sz w:val="18"/>
                <w:szCs w:val="18"/>
              </w:rPr>
              <w:br/>
              <w:t>• Maintenance contract term (list each contract if there are multiple)</w:t>
            </w:r>
            <w:r w:rsidRPr="00440359">
              <w:rPr>
                <w:rFonts w:ascii="Arial" w:eastAsia="Times New Roman" w:hAnsi="Arial" w:cs="Arial"/>
                <w:sz w:val="18"/>
                <w:szCs w:val="18"/>
              </w:rPr>
              <w:br/>
              <w:t>• For which licenses should we price assistance in the transfer</w:t>
            </w:r>
            <w:r w:rsidRPr="00440359">
              <w:rPr>
                <w:rFonts w:ascii="Arial" w:eastAsia="Times New Roman" w:hAnsi="Arial" w:cs="Arial"/>
                <w:sz w:val="18"/>
                <w:szCs w:val="18"/>
              </w:rPr>
              <w:br/>
              <w:t>• Transfer fees for each title to be transferred</w:t>
            </w:r>
            <w:r w:rsidRPr="00440359">
              <w:rPr>
                <w:rFonts w:ascii="Arial" w:eastAsia="Times New Roman" w:hAnsi="Arial" w:cs="Arial"/>
                <w:sz w:val="18"/>
                <w:szCs w:val="18"/>
              </w:rPr>
              <w:br/>
              <w:t>• List all consent letter fees</w:t>
            </w:r>
            <w:r w:rsidRPr="00440359">
              <w:rPr>
                <w:rFonts w:ascii="Arial" w:eastAsia="Times New Roman" w:hAnsi="Arial" w:cs="Arial"/>
                <w:sz w:val="18"/>
                <w:szCs w:val="18"/>
              </w:rPr>
              <w:br/>
              <w:t>• Versions for all titles (include all versions within a title)</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selected Offeror will be responsible for all costs for the software designated as “Third Party Software” in Schedule I.  The selected Offeror will be responsible for all costs for the software designated as “Hybrid Third Party Software” in Schedule I, except for the cost of the license.  The Commonwealth does not intend to transfer </w:t>
            </w:r>
            <w:r w:rsidR="00C7570B" w:rsidRPr="00440359">
              <w:rPr>
                <w:rFonts w:ascii="Arial" w:eastAsia="Times New Roman" w:hAnsi="Arial" w:cs="Arial"/>
                <w:sz w:val="18"/>
                <w:szCs w:val="18"/>
              </w:rPr>
              <w:t xml:space="preserve">licenses related to </w:t>
            </w:r>
            <w:r w:rsidRPr="00440359">
              <w:rPr>
                <w:rFonts w:ascii="Arial" w:eastAsia="Times New Roman" w:hAnsi="Arial" w:cs="Arial"/>
                <w:sz w:val="18"/>
                <w:szCs w:val="18"/>
              </w:rPr>
              <w:t xml:space="preserve"> any Third Party software.</w:t>
            </w:r>
            <w:r w:rsidRPr="00440359">
              <w:rPr>
                <w:rFonts w:ascii="Arial" w:eastAsia="Times New Roman" w:hAnsi="Arial" w:cs="Arial"/>
                <w:sz w:val="18"/>
                <w:szCs w:val="18"/>
              </w:rPr>
              <w:br/>
            </w:r>
            <w:r w:rsidRPr="00440359">
              <w:rPr>
                <w:rFonts w:ascii="Arial" w:eastAsia="Times New Roman" w:hAnsi="Arial" w:cs="Arial"/>
                <w:sz w:val="18"/>
                <w:szCs w:val="18"/>
              </w:rPr>
              <w:br/>
              <w:t xml:space="preserve">The Offeror must provide a catalog of monthly single unit prices as part of its proposal.  A single unit could be a single MIP, a single core, a single user, a single server, etc.  The configuration will be determined as part of transition planning.  </w:t>
            </w:r>
          </w:p>
        </w:tc>
      </w:tr>
      <w:tr w:rsidR="00182FE3" w:rsidRPr="00440359" w:rsidTr="001A5115">
        <w:trPr>
          <w:trHeight w:val="2400"/>
        </w:trPr>
        <w:tc>
          <w:tcPr>
            <w:tcW w:w="68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39</w:t>
            </w:r>
          </w:p>
        </w:tc>
        <w:tc>
          <w:tcPr>
            <w:tcW w:w="138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Addendum 3, Round 1, Part 1</w:t>
            </w:r>
          </w:p>
        </w:tc>
        <w:tc>
          <w:tcPr>
            <w:tcW w:w="1381"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 (Answer to Question Number 19)</w:t>
            </w:r>
          </w:p>
        </w:tc>
        <w:tc>
          <w:tcPr>
            <w:tcW w:w="5513" w:type="dxa"/>
            <w:tcBorders>
              <w:top w:val="single" w:sz="4" w:space="0" w:color="auto"/>
              <w:left w:val="nil"/>
              <w:bottom w:val="single" w:sz="4" w:space="0" w:color="auto"/>
              <w:right w:val="single" w:sz="4" w:space="0" w:color="auto"/>
            </w:tcBorders>
            <w:shd w:val="clear" w:color="auto" w:fill="FFFFFF" w:themeFill="background1"/>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With the understanding that there is no committed baseline for usage by the Commonwealth, please confirm that once the contract is executed it is the intent of the Commonwealth to use this contract to provide data center services (as outlined in this RFP) for all agencies under the jurisdiction of the Governor’s Office.  If not, under what circumstances could agencies be allowed to continue operating their own data centers or purchase these services from another source?</w:t>
            </w:r>
          </w:p>
        </w:tc>
        <w:tc>
          <w:tcPr>
            <w:tcW w:w="6515" w:type="dxa"/>
            <w:tcBorders>
              <w:top w:val="single" w:sz="4" w:space="0" w:color="auto"/>
              <w:left w:val="nil"/>
              <w:bottom w:val="single" w:sz="4" w:space="0" w:color="auto"/>
              <w:right w:val="single" w:sz="4" w:space="0" w:color="auto"/>
            </w:tcBorders>
            <w:shd w:val="clear" w:color="auto" w:fill="FFFFFF" w:themeFill="background1"/>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Continued use of individual agency datacenters is an internal Commonwealth management issue and will be resolved internally.  The selected Offeror is to provide services as ordered.</w:t>
            </w:r>
          </w:p>
        </w:tc>
      </w:tr>
      <w:tr w:rsidR="00182FE3" w:rsidRPr="00440359" w:rsidTr="00EE45CA">
        <w:trPr>
          <w:trHeight w:val="28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6100022698 - Schedule I - Offeror Pricing Forms – ammended.xls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r w:rsidRPr="00440359">
              <w:rPr>
                <w:rFonts w:ascii="Arial" w:eastAsia="Times New Roman" w:hAnsi="Arial" w:cs="Arial"/>
                <w:sz w:val="18"/>
                <w:szCs w:val="18"/>
              </w:rPr>
              <w:br/>
              <w:t>Transition Charges, Managed Services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Are the prices to be shown on the Transition Charges tab to reflect the transition of the infrastructure counts reflected in the Volumemetrics tab or should the transition charges reflect the price for the relocation of the items shown in the Exhibits? </w:t>
            </w:r>
            <w:r w:rsidRPr="00440359">
              <w:rPr>
                <w:rFonts w:ascii="Arial" w:eastAsia="Times New Roman" w:hAnsi="Arial" w:cs="Arial"/>
                <w:sz w:val="18"/>
                <w:szCs w:val="18"/>
              </w:rPr>
              <w:br/>
              <w:t>If it is to reflect of the infrastructure counts reflected in the Volumemetrics tab we have no breakdown by agency to spread within the Transition Charges tab; please provide an agency breakdown of the counts within the Volumemetrics tab.</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Transition Charges in Schedule I on the  “Transition Charges” tab should reflect the price for the relocation of the items shown in the Exhibits and not the transition of the infrastructure counts reflected in the Volumemetrics tab.</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Addendum 9 – Round 1, Part 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82, (Answers to Question Number 38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answer to the calculations are repeatable for the first example only. Please provide the formulas used in the calculations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See Schedule J.3 (Datacenter SLA Definitions) for SLA formulas.</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Addendum 9 – Round 1, Part 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82, (Answers to Question Number 38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calculations do not appear to remove scheduled maintenance periods from the calculations. Please confirm that scheduled maintenance periods are not to be included in availability calculations.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Commonwealth confirms scheduled and approved maintenance windows are excluded from availability calculations per Note 2 in Schedule J.3.</w:t>
            </w:r>
          </w:p>
        </w:tc>
      </w:tr>
      <w:tr w:rsidR="00182FE3" w:rsidRPr="00440359" w:rsidTr="00EE45CA">
        <w:trPr>
          <w:trHeight w:val="64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Addendum 9 – Round 1, Part 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82, (Answers to Question Number 38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In Scenario #3 we cannot determine from the description whether or not the outages were across one or several servers. If several servers and all servers where identical in type and application and all connected to the same network, the calculation for availability would be calculated by a different formula than that for servers of different types (e.g. web, database, transaction). In addition, the network outage is not described as within one segment or simultaneously in several and for the entire server set.</w:t>
            </w:r>
            <w:r w:rsidRPr="00440359">
              <w:rPr>
                <w:rFonts w:ascii="Arial" w:eastAsia="Times New Roman" w:hAnsi="Arial" w:cs="Arial"/>
                <w:sz w:val="18"/>
                <w:szCs w:val="18"/>
              </w:rPr>
              <w:br/>
            </w:r>
            <w:r w:rsidRPr="00440359">
              <w:rPr>
                <w:rFonts w:ascii="Arial" w:eastAsia="Times New Roman" w:hAnsi="Arial" w:cs="Arial"/>
                <w:sz w:val="18"/>
                <w:szCs w:val="18"/>
              </w:rPr>
              <w:br/>
              <w:t>Comprehensive application availability measurements require complete understanding of how an application lays over the physical IT environment. It incorporates calculations that vary by nature of component interdependency and redundancy. This interdependency/redundancy then dictates variations in the construction of the unique availability formula for any one application.</w:t>
            </w:r>
            <w:r w:rsidRPr="00440359">
              <w:rPr>
                <w:rFonts w:ascii="Arial" w:eastAsia="Times New Roman" w:hAnsi="Arial" w:cs="Arial"/>
                <w:sz w:val="18"/>
                <w:szCs w:val="18"/>
              </w:rPr>
              <w:br/>
            </w:r>
            <w:r w:rsidRPr="00440359">
              <w:rPr>
                <w:rFonts w:ascii="Arial" w:eastAsia="Times New Roman" w:hAnsi="Arial" w:cs="Arial"/>
                <w:sz w:val="18"/>
                <w:szCs w:val="18"/>
              </w:rPr>
              <w:br/>
              <w:t>Based on the above and to properly scope this effort, please provide the information for constructing the availability formulas for each application including their architecture, how the applications are physically laid out across servers and networks, the relative work load across servers of different types, along with any connection to SAN, and third-party providers.</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182FE3">
            <w:pPr>
              <w:rPr>
                <w:rFonts w:ascii="Arial" w:eastAsia="Times New Roman" w:hAnsi="Arial" w:cs="Arial"/>
                <w:sz w:val="18"/>
                <w:szCs w:val="18"/>
              </w:rPr>
            </w:pPr>
            <w:r w:rsidRPr="00440359">
              <w:rPr>
                <w:rFonts w:ascii="Arial" w:eastAsia="Times New Roman" w:hAnsi="Arial" w:cs="Arial"/>
                <w:sz w:val="18"/>
                <w:szCs w:val="18"/>
              </w:rPr>
              <w:t xml:space="preserve">See Schedule J.1 section 14 Single Incident/Multiple Defaults.  </w:t>
            </w:r>
            <w:r w:rsidRPr="00440359">
              <w:rPr>
                <w:rFonts w:ascii="Arial" w:eastAsia="Times New Roman" w:hAnsi="Arial" w:cs="Arial"/>
                <w:sz w:val="18"/>
                <w:szCs w:val="18"/>
              </w:rPr>
              <w:br/>
            </w:r>
            <w:r w:rsidRPr="00440359">
              <w:rPr>
                <w:rFonts w:ascii="Arial" w:eastAsia="Times New Roman" w:hAnsi="Arial" w:cs="Arial"/>
                <w:sz w:val="18"/>
                <w:szCs w:val="18"/>
              </w:rPr>
              <w:br/>
              <w:t xml:space="preserve">The selected Offeror </w:t>
            </w:r>
            <w:r w:rsidR="00D62287" w:rsidRPr="00440359">
              <w:rPr>
                <w:rFonts w:ascii="Arial" w:eastAsia="Times New Roman" w:hAnsi="Arial" w:cs="Arial"/>
                <w:sz w:val="18"/>
                <w:szCs w:val="18"/>
              </w:rPr>
              <w:t xml:space="preserve">will be </w:t>
            </w:r>
            <w:r w:rsidR="00743835" w:rsidRPr="00440359">
              <w:rPr>
                <w:rFonts w:ascii="Arial" w:eastAsia="Times New Roman" w:hAnsi="Arial" w:cs="Arial"/>
                <w:sz w:val="18"/>
                <w:szCs w:val="18"/>
              </w:rPr>
              <w:t>required</w:t>
            </w:r>
            <w:r w:rsidR="00D62287" w:rsidRPr="00440359">
              <w:rPr>
                <w:rFonts w:ascii="Arial" w:eastAsia="Times New Roman" w:hAnsi="Arial" w:cs="Arial"/>
                <w:sz w:val="18"/>
                <w:szCs w:val="18"/>
              </w:rPr>
              <w:t xml:space="preserve"> to </w:t>
            </w:r>
            <w:r w:rsidRPr="00440359">
              <w:rPr>
                <w:rFonts w:ascii="Arial" w:eastAsia="Times New Roman" w:hAnsi="Arial" w:cs="Arial"/>
                <w:sz w:val="18"/>
                <w:szCs w:val="18"/>
              </w:rPr>
              <w:t>review Commonwealth orders and provide feedback prior to approval of the order in the event of conflicting SLAs for application and its components.</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F </w:t>
            </w:r>
            <w:r w:rsidRPr="00440359">
              <w:rPr>
                <w:rFonts w:ascii="Arial" w:eastAsia="Times New Roman" w:hAnsi="Arial" w:cs="Arial"/>
                <w:sz w:val="18"/>
                <w:szCs w:val="18"/>
              </w:rPr>
              <w:br/>
              <w:t>Section 3.2.2.2</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Item 9 Support User Acceptance Testing</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66</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requirement indicates that the Commonwealth will not be charged for services until written acceptance is obtained from the Commonwealth.  Will the written acceptance be provided after the System acceptance testing is completed and the systems are transferred to the Commonwealth?</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Refer to Appendix A - Terms and Conditions section 22 Inspection and acceptance for information regarding the acceptance of services.</w:t>
            </w:r>
          </w:p>
        </w:tc>
      </w:tr>
      <w:tr w:rsidR="00182FE3" w:rsidRPr="00440359" w:rsidTr="00EE45CA">
        <w:trPr>
          <w:trHeight w:val="50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J.1, Schedule J.2, Schedule J.3</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If availability is to be measured for an application’s entire IT value chain many configuration items are likely to be in play including multiple servers, networks, network devices, storage devices, etc. For example, an application’s web server may call upon a database server and a transaction server. These same database servers and transaction servers may be employed in the support of other applications as well. </w:t>
            </w:r>
            <w:r w:rsidRPr="00440359">
              <w:rPr>
                <w:rFonts w:ascii="Arial" w:eastAsia="Times New Roman" w:hAnsi="Arial" w:cs="Arial"/>
                <w:sz w:val="18"/>
                <w:szCs w:val="18"/>
              </w:rPr>
              <w:br/>
            </w:r>
            <w:r w:rsidRPr="00440359">
              <w:rPr>
                <w:rFonts w:ascii="Arial" w:eastAsia="Times New Roman" w:hAnsi="Arial" w:cs="Arial"/>
                <w:sz w:val="18"/>
                <w:szCs w:val="18"/>
              </w:rPr>
              <w:br/>
              <w:t xml:space="preserve">1. For the cited example, what will be the applicable SLA for the database server if two separate applications operating under two different SLA tiers access the server? </w:t>
            </w:r>
            <w:r w:rsidRPr="00440359">
              <w:rPr>
                <w:rFonts w:ascii="Arial" w:eastAsia="Times New Roman" w:hAnsi="Arial" w:cs="Arial"/>
                <w:sz w:val="18"/>
                <w:szCs w:val="18"/>
              </w:rPr>
              <w:br/>
              <w:t xml:space="preserve">2. How does the Commonwealth anticipate rationalizing these intersecting IT element SLAs across the IT environment? </w:t>
            </w:r>
            <w:r w:rsidRPr="00440359">
              <w:rPr>
                <w:rFonts w:ascii="Arial" w:eastAsia="Times New Roman" w:hAnsi="Arial" w:cs="Arial"/>
                <w:sz w:val="18"/>
                <w:szCs w:val="18"/>
              </w:rPr>
              <w:br/>
              <w:t>3. How are these disparate SLAs among applications to be managed for purposes of monitoring and measuring application availability?</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182FE3">
            <w:pPr>
              <w:rPr>
                <w:rFonts w:ascii="Arial" w:eastAsia="Times New Roman" w:hAnsi="Arial" w:cs="Arial"/>
                <w:sz w:val="18"/>
                <w:szCs w:val="18"/>
              </w:rPr>
            </w:pPr>
            <w:r w:rsidRPr="00440359">
              <w:rPr>
                <w:rFonts w:ascii="Arial" w:eastAsia="Times New Roman" w:hAnsi="Arial" w:cs="Arial"/>
                <w:sz w:val="18"/>
                <w:szCs w:val="18"/>
              </w:rPr>
              <w:t xml:space="preserve">See Schedule J.1 section 14 Single Incident/Multiple Defaults.  </w:t>
            </w:r>
            <w:r w:rsidRPr="00440359">
              <w:rPr>
                <w:rFonts w:ascii="Arial" w:eastAsia="Times New Roman" w:hAnsi="Arial" w:cs="Arial"/>
                <w:sz w:val="18"/>
                <w:szCs w:val="18"/>
              </w:rPr>
              <w:br/>
            </w:r>
            <w:r w:rsidRPr="00440359">
              <w:rPr>
                <w:rFonts w:ascii="Arial" w:eastAsia="Times New Roman" w:hAnsi="Arial" w:cs="Arial"/>
                <w:sz w:val="18"/>
                <w:szCs w:val="18"/>
              </w:rPr>
              <w:br/>
              <w:t xml:space="preserve">The selected Offeror </w:t>
            </w:r>
            <w:r w:rsidR="00C53B76" w:rsidRPr="00440359">
              <w:rPr>
                <w:rFonts w:ascii="Arial" w:eastAsia="Times New Roman" w:hAnsi="Arial" w:cs="Arial"/>
                <w:sz w:val="18"/>
                <w:szCs w:val="18"/>
              </w:rPr>
              <w:t xml:space="preserve">will be </w:t>
            </w:r>
            <w:r w:rsidR="00743835" w:rsidRPr="00440359">
              <w:rPr>
                <w:rFonts w:ascii="Arial" w:eastAsia="Times New Roman" w:hAnsi="Arial" w:cs="Arial"/>
                <w:sz w:val="18"/>
                <w:szCs w:val="18"/>
              </w:rPr>
              <w:t>required</w:t>
            </w:r>
            <w:r w:rsidR="00C53B76" w:rsidRPr="00440359">
              <w:rPr>
                <w:rFonts w:ascii="Arial" w:eastAsia="Times New Roman" w:hAnsi="Arial" w:cs="Arial"/>
                <w:sz w:val="18"/>
                <w:szCs w:val="18"/>
              </w:rPr>
              <w:t xml:space="preserve"> to </w:t>
            </w:r>
            <w:r w:rsidRPr="00440359">
              <w:rPr>
                <w:rFonts w:ascii="Arial" w:eastAsia="Times New Roman" w:hAnsi="Arial" w:cs="Arial"/>
                <w:sz w:val="18"/>
                <w:szCs w:val="18"/>
              </w:rPr>
              <w:t>review Commonwealth orders and provide feedback prior to approval of the order in the event of conflicting SLAs for application and its components.</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 Tab for IaaS Storage Config-3</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In Schedule I the Volumemetrics tab specifies a “0” quantity for IaaS Storage Config-3 throughout the contract.   Should Offerors interpret this to mean that the Commonwealth has no need for IaaS Network attached storage or can the Commonwealth provide a baseline quantity for this storage?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I has been revised to include volumes for IaaS Storage Config-3.  The Commonwealth has established multiple scenarios of infrastructure configurations specifically for pricing evaluation, as set forth in Schedule I.  Actual volumes may vary.   </w:t>
            </w:r>
          </w:p>
        </w:tc>
      </w:tr>
      <w:tr w:rsidR="00182FE3" w:rsidRPr="00440359" w:rsidTr="00EE45CA">
        <w:trPr>
          <w:trHeight w:val="21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D-10</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Are there any differences between deliverables D-10.01 and D-10.02?  Only D-10.01 is required for a Transition milestone and there is only 30 days between the two due dates.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Schedule I has been revised to align with the Milestones defined in Schedule D.</w:t>
            </w:r>
            <w:r w:rsidRPr="00440359">
              <w:rPr>
                <w:rFonts w:ascii="Arial" w:eastAsia="Times New Roman" w:hAnsi="Arial" w:cs="Arial"/>
                <w:sz w:val="18"/>
                <w:szCs w:val="18"/>
              </w:rPr>
              <w:br/>
            </w:r>
            <w:r w:rsidRPr="00440359">
              <w:rPr>
                <w:rFonts w:ascii="Arial" w:eastAsia="Times New Roman" w:hAnsi="Arial" w:cs="Arial"/>
                <w:sz w:val="18"/>
                <w:szCs w:val="18"/>
              </w:rPr>
              <w:br/>
              <w:t>Deliverable D-10.01 is the Gap Analysis Report and D-10.02 is to present the results of the Data Center Gap Analysis along with a Roadmap and Project Plan to address the recommendations identified in the analysis .</w:t>
            </w:r>
          </w:p>
        </w:tc>
      </w:tr>
      <w:tr w:rsidR="00182FE3" w:rsidRPr="00440359" w:rsidTr="00EE45CA">
        <w:trPr>
          <w:trHeight w:val="48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and Schedule B.4</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following items on Schedule I on the Volumemetrics tab under Third Party Software – Commonwealth Provided Contractor Maintained and Managed, but are documented in Exhibit B.4 which is defined as Third Party –Contractor Provided.  Should the offeror provide the quote based upon the definition with in Schedule I or Exhibit B.4 for the following products?</w:t>
            </w:r>
            <w:r w:rsidRPr="00440359">
              <w:rPr>
                <w:rFonts w:ascii="Arial" w:eastAsia="Times New Roman" w:hAnsi="Arial" w:cs="Arial"/>
                <w:sz w:val="18"/>
                <w:szCs w:val="18"/>
              </w:rPr>
              <w:br/>
              <w:t>USPS Correct Address – Schedule I Volumemetrics Row 568; Exhibit B.4 item 204</w:t>
            </w:r>
            <w:r w:rsidRPr="00440359">
              <w:rPr>
                <w:rFonts w:ascii="Arial" w:eastAsia="Times New Roman" w:hAnsi="Arial" w:cs="Arial"/>
                <w:sz w:val="18"/>
                <w:szCs w:val="18"/>
              </w:rPr>
              <w:br/>
              <w:t>IBM FileNet – Schedule I Volumemetrics Row 569; Exhibit B.4 item 205</w:t>
            </w:r>
            <w:r w:rsidRPr="00440359">
              <w:rPr>
                <w:rFonts w:ascii="Arial" w:eastAsia="Times New Roman" w:hAnsi="Arial" w:cs="Arial"/>
                <w:sz w:val="18"/>
                <w:szCs w:val="18"/>
              </w:rPr>
              <w:br/>
              <w:t>Microsoft Sharepoint (with SA) – Schedule I Volumemetrics Row 570; Exhibit B.4 item 206</w:t>
            </w:r>
            <w:r w:rsidRPr="00440359">
              <w:rPr>
                <w:rFonts w:ascii="Arial" w:eastAsia="Times New Roman" w:hAnsi="Arial" w:cs="Arial"/>
                <w:sz w:val="18"/>
                <w:szCs w:val="18"/>
              </w:rPr>
              <w:br/>
              <w:t>IBM Websphere MQ (Processor Value Unit) – Schedule I Volumemetrics Row 571; Exhibit B.4 item 207</w:t>
            </w:r>
            <w:r w:rsidRPr="00440359">
              <w:rPr>
                <w:rFonts w:ascii="Arial" w:eastAsia="Times New Roman" w:hAnsi="Arial" w:cs="Arial"/>
                <w:sz w:val="18"/>
                <w:szCs w:val="18"/>
              </w:rPr>
              <w:br/>
              <w:t>Xerox XeroxDocuShare – Schedule I Volumemetrics Row 572; Exhibit B.4 item 208</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I has been revised to align with Exhibit B.4.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D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M15, M16, M17, M18, M19 and M20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With the understanding that major changes to a transition project can impact the ability to support the completion of a Transition Milestone on-time and on-budget, can you please define what a Transition order means in the follow phrase? “Transition orders completed and accepted by the Commonwealth”.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“Transition Orders” are the orders for existing Commonwealth services that will be placed to transition those services into the </w:t>
            </w:r>
            <w:r w:rsidR="00C53B76" w:rsidRPr="00440359">
              <w:rPr>
                <w:rFonts w:ascii="Arial" w:eastAsia="Times New Roman" w:hAnsi="Arial" w:cs="Arial"/>
                <w:sz w:val="18"/>
                <w:szCs w:val="18"/>
              </w:rPr>
              <w:t>contract.</w:t>
            </w:r>
          </w:p>
        </w:tc>
      </w:tr>
      <w:tr w:rsidR="00182FE3" w:rsidRPr="00440359" w:rsidTr="00EE45CA">
        <w:trPr>
          <w:trHeight w:val="24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50</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Tab 6 Items 28, 29, 116, 117, 206, 207, 311, 312, 411, 412, 550, 551, 602, 603, 649, 650</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Based upon the answers 166 and 167 from the Master Q&amp;A document page 162 for storage and disaster recovery, are the servers referenced in Config-4 and 5 for Windows, Linux, and AIX and the Mainframe configurations with Disaster Recovery to be considered production servers with a related Disaster Recovery server or are they the Disaster Recovery server.</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referenced servers should be considered production servers with a related Disaster Recovery server.</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51</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K </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3.3.1</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In the original Schedule K the Scranton DR site for DLI was included.  In the most recent version, it no longer is and is not included in Schedule S – Data Center Locations.  Has it now been taken out of scope?  Are all Data Centers not mentioned specifically in Schedule S out of scope?</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Datacenters not listed in Schedule S are out of scope.  Scranton is a DR site.  As the services are transitioned from the current datacenter to the Offeror's datacenter, the DR (if ordered) will be transitioned with the service.</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 and 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166</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Page 162</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As the storage volumes are considered production, what is the percentage or amount of storage by type which should be planned for Disaster Recovery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configuration definitions tab identifies which configurations include DR.  Each configuration has associated volumetrics on the volumetrics tab.</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775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Should we price using BL/LIB with the DSI Virtual Tape, Robotic Devices or stand alone?</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  For purposes of this proposal the Offeror is to use Robotic Devices.</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776</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777-794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796-798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total number of USERS?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User counts are in the Volumetrics tab of Schedule I</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799-808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810</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Power Path for Windows, Unix or Virtual Environment?</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PowerPath for Windows</w:t>
            </w:r>
            <w:r w:rsidR="00C669D8">
              <w:rPr>
                <w:rFonts w:ascii="Arial" w:eastAsia="Times New Roman" w:hAnsi="Arial" w:cs="Arial"/>
                <w:sz w:val="18"/>
                <w:szCs w:val="18"/>
              </w:rPr>
              <w:t>.</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59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811</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many CPUs?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815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821-826</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829-830, 840-842</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CPUs?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831, 838, 839, 843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Users?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User counts are in the Volumetrics tab of Schedule I</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832 &amp; 834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This line item implies that you want this priced by CPU but Microsoft no longer prices this software in this manner; how would you like this priced?</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833&amp;835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CPUs and Cores per CPU?</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844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total number of devices?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845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many Operating Systems to be protected?</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OS counts are in the Volumetrics tab of Schedule I</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846</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many CPUs?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69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847</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849</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CPUs and Cores per CPU?</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869</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How many CPUs?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872-929</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are the number of MIPS/ MSUs?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953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Number of Tape Drives?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 972</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is the total number of GB being used for each ESX?</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5513" w:type="dxa"/>
            <w:tcBorders>
              <w:top w:val="nil"/>
              <w:left w:val="nil"/>
              <w:bottom w:val="single" w:sz="4" w:space="0" w:color="auto"/>
              <w:right w:val="single" w:sz="4" w:space="0" w:color="auto"/>
            </w:tcBorders>
            <w:shd w:val="clear" w:color="auto" w:fill="auto"/>
            <w:noWrap/>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Does the type of software license matter? Term vs. Perpetual, etc…?</w:t>
            </w:r>
          </w:p>
        </w:tc>
        <w:tc>
          <w:tcPr>
            <w:tcW w:w="6515" w:type="dxa"/>
            <w:tcBorders>
              <w:top w:val="nil"/>
              <w:left w:val="nil"/>
              <w:bottom w:val="single" w:sz="4" w:space="0" w:color="auto"/>
              <w:right w:val="single" w:sz="4" w:space="0" w:color="auto"/>
            </w:tcBorders>
            <w:shd w:val="clear" w:color="auto" w:fill="auto"/>
            <w:hideMark/>
          </w:tcPr>
          <w:p w:rsidR="00125D54" w:rsidRPr="00440359" w:rsidRDefault="00743835">
            <w:pPr>
              <w:rPr>
                <w:rFonts w:ascii="Arial" w:eastAsia="Times New Roman" w:hAnsi="Arial" w:cs="Arial"/>
                <w:sz w:val="18"/>
                <w:szCs w:val="18"/>
              </w:rPr>
            </w:pPr>
            <w:r w:rsidRPr="00440359">
              <w:rPr>
                <w:rFonts w:ascii="Arial" w:eastAsia="Times New Roman" w:hAnsi="Arial" w:cs="Arial"/>
                <w:sz w:val="18"/>
                <w:szCs w:val="18"/>
              </w:rPr>
              <w:t xml:space="preserve">The Commonwealth requires a price per unit per month for software.  </w:t>
            </w:r>
            <w:r w:rsidR="00182FE3" w:rsidRPr="00440359">
              <w:rPr>
                <w:rFonts w:ascii="Arial" w:eastAsia="Times New Roman" w:hAnsi="Arial" w:cs="Arial"/>
                <w:sz w:val="18"/>
                <w:szCs w:val="18"/>
              </w:rPr>
              <w:t xml:space="preserve">The </w:t>
            </w:r>
            <w:r w:rsidR="00831E42" w:rsidRPr="00440359">
              <w:rPr>
                <w:rFonts w:ascii="Arial" w:eastAsia="Times New Roman" w:hAnsi="Arial" w:cs="Arial"/>
                <w:sz w:val="18"/>
                <w:szCs w:val="18"/>
              </w:rPr>
              <w:t xml:space="preserve">selected Offeror may determine the </w:t>
            </w:r>
            <w:r w:rsidR="00182FE3" w:rsidRPr="00440359">
              <w:rPr>
                <w:rFonts w:ascii="Arial" w:eastAsia="Times New Roman" w:hAnsi="Arial" w:cs="Arial"/>
                <w:sz w:val="18"/>
                <w:szCs w:val="18"/>
              </w:rPr>
              <w:t xml:space="preserve">type of license </w:t>
            </w:r>
            <w:r w:rsidR="00831E42" w:rsidRPr="00440359">
              <w:rPr>
                <w:rFonts w:ascii="Arial" w:eastAsia="Times New Roman" w:hAnsi="Arial" w:cs="Arial"/>
                <w:sz w:val="18"/>
                <w:szCs w:val="18"/>
              </w:rPr>
              <w:t xml:space="preserve">necessary to meet the Commonwealth’s requirements. </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Rows 775-997</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HW configurations should we assume for all of the software licenses?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Offeror must provide a catalog of monthly single unit prices as part of its proposal.  A single unit could be a single MIP, a single core, a single user, a single server, etc.  The configuration will be determined as part of transition planning.</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I-Offeror Pricing Forms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Catalog of Services Excel</w:t>
            </w:r>
          </w:p>
        </w:tc>
        <w:tc>
          <w:tcPr>
            <w:tcW w:w="1381" w:type="dxa"/>
            <w:tcBorders>
              <w:top w:val="nil"/>
              <w:left w:val="nil"/>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General question</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Some of the licenses identified are part of a bundle so how should we price bundles? For example, row 849 comes with row 848, 850-852 and 856. We are not able to buy these independently of the license in row 849.</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Offerors should prorate the cost for bundled software across all the components of the software bundle.</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J.3</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SL 30 Reports delivered on Time</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44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In the Service Level Reference table row titled 'Calculation', the formula for the Service Level Calculation indicates the Total Number of Reports schedule 'to be delivered'.  </w:t>
            </w:r>
            <w:r w:rsidRPr="00440359">
              <w:rPr>
                <w:rFonts w:ascii="Arial" w:eastAsia="Times New Roman" w:hAnsi="Arial" w:cs="Arial"/>
                <w:sz w:val="18"/>
                <w:szCs w:val="18"/>
              </w:rPr>
              <w:br/>
            </w:r>
            <w:r w:rsidRPr="00440359">
              <w:rPr>
                <w:rFonts w:ascii="Arial" w:eastAsia="Times New Roman" w:hAnsi="Arial" w:cs="Arial"/>
                <w:sz w:val="18"/>
                <w:szCs w:val="18"/>
              </w:rPr>
              <w:br/>
              <w:t>Please deliver the required information for the formula.</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SLA calculation is</w:t>
            </w:r>
            <w:r w:rsidRPr="00440359">
              <w:rPr>
                <w:rFonts w:ascii="Arial" w:eastAsia="Times New Roman" w:hAnsi="Arial" w:cs="Arial"/>
                <w:sz w:val="18"/>
                <w:szCs w:val="18"/>
              </w:rPr>
              <w:br/>
              <w:t>= ((Number Of Reports Delivered On Time) / (Total Number Of Reports Scheduled To Be Delivered)) expressed as a percentage</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79</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Unisys Mainframe</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Commonwealth has provided MIPS requirements for various Production and Disaster Recovery mainframe systems.  The Volumemetrics show the DR MIPS are 4 times those of Production for Unisys Mainframes.  Is it the intent of the Commonwealth to procure DR MIPS at a higher level than Production?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configurations identified are not production and DR, but rather production with no DR provided and production with DR provided as described.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Unisys Mainframe</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Assuming Production and DR Mips are reversed (#41 above), if DR Mips are specified at 25% of production, and  SLA levels are inherited from production if a Disaster is declared, then will production SLA's only be applied to 25% of production workloads or will SLA levels apply to 100% of production workloads?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configurations identified are not production and DR, but rather production with no DR provided and production with DR provided as described. </w:t>
            </w:r>
          </w:p>
        </w:tc>
      </w:tr>
      <w:tr w:rsidR="00182FE3" w:rsidRPr="00440359" w:rsidTr="00EE45CA">
        <w:trPr>
          <w:trHeight w:val="24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milestone MK has a due date of 120 from the contract effective date.  The Deliverables specified in this milestone have due dates of 150 days from the Effective date with the presentation due at 180 days.  How can the offeror meet an acceptance milestone when the deliverables are not due until 60 days later?</w:t>
            </w:r>
            <w:r w:rsidRPr="00440359">
              <w:rPr>
                <w:rFonts w:ascii="Arial" w:eastAsia="Times New Roman" w:hAnsi="Arial" w:cs="Arial"/>
                <w:sz w:val="18"/>
                <w:szCs w:val="18"/>
              </w:rPr>
              <w:br/>
              <w:t>D-10.01  Effective Date + 150 days</w:t>
            </w:r>
            <w:r w:rsidRPr="00440359">
              <w:rPr>
                <w:rFonts w:ascii="Arial" w:eastAsia="Times New Roman" w:hAnsi="Arial" w:cs="Arial"/>
                <w:sz w:val="18"/>
                <w:szCs w:val="18"/>
              </w:rPr>
              <w:br/>
              <w:t xml:space="preserve"> D-10.02   Effective Date + 180 days</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Schedule K has been revised.  Deliverable D-10.01 has been revised to 120 days and Deliverable D-10.02 has been revised to 150 days.  </w:t>
            </w:r>
          </w:p>
        </w:tc>
      </w:tr>
      <w:tr w:rsidR="00182FE3" w:rsidRPr="00440359" w:rsidTr="00EE45CA">
        <w:trPr>
          <w:trHeight w:val="16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D10</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23</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document states "Offeror must execute a Data Center Gap Analysis.  The analysis must include gaps identified and a roadmap and project plan to institute any recommendations and corrective actions."  Can the Commonwealth define what are the requirements and deliverables of the Gap Analysis Report?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Deliverables are identified in Schedule K.  The Commonwealth requires the Offeror to identify any gaps between the RFP documents, the Offerors proposal, and the actual environment and then provide a roadmap and project plan to institute any recommendations and corrective actions.</w:t>
            </w:r>
          </w:p>
        </w:tc>
      </w:tr>
      <w:tr w:rsidR="00182FE3" w:rsidRPr="00440359" w:rsidTr="00EE45CA">
        <w:trPr>
          <w:trHeight w:val="21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Unisys Mainframe</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It is understood that the MIPS specified in the Volumemetrics tab are to be utilized for price comparison only.  However the Commonwealth has selected specific Unisys Mainframe MIPS counts for the various tiers which are very different than the MIPS counts reflected in the Exhibits.  Can the Commonwealth explain why they used such specific MIPS counts in the Volumemetrics tab?</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MIPS counts in the exhibits were provided to assist in transition planning and were current counts at the time the exhibits were created.   Current volumes may vary.  </w:t>
            </w:r>
            <w:r w:rsidRPr="00440359">
              <w:rPr>
                <w:rFonts w:ascii="Arial" w:eastAsia="Times New Roman" w:hAnsi="Arial" w:cs="Arial"/>
                <w:sz w:val="18"/>
                <w:szCs w:val="18"/>
              </w:rPr>
              <w:br/>
            </w:r>
            <w:r w:rsidRPr="00440359">
              <w:rPr>
                <w:rFonts w:ascii="Arial" w:eastAsia="Times New Roman" w:hAnsi="Arial" w:cs="Arial"/>
                <w:sz w:val="18"/>
                <w:szCs w:val="18"/>
              </w:rPr>
              <w:br/>
              <w:t xml:space="preserve">The MIPS counts on the volumetrics tab in Schedule I were established specifically for pricing evaluation.  Actual volumes may vary.  </w:t>
            </w:r>
          </w:p>
        </w:tc>
      </w:tr>
      <w:tr w:rsidR="00182FE3" w:rsidRPr="00440359" w:rsidTr="00EE45CA">
        <w:trPr>
          <w:trHeight w:val="28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84</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Volumemetrics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Unisys Mainframe</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Unisys Mainframe configurations 3 and 4 are Disaster Recovery configurations.  Each has MIPS requirements in the Platinum, Gold and Basic tier. If DR becomes production it inherits the performance level (SLA's) of production.  It is assumed that the performance and SLA levels will apply to DR during test and/or idle times.  As the configurations do not match production MIPS requirements nor can SLAs be applied to idle machines can the Commonwealth define how SLA levels will be assessed on DR machines that are not being used?</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BC008F">
            <w:pPr>
              <w:rPr>
                <w:rFonts w:ascii="Arial" w:eastAsia="Times New Roman" w:hAnsi="Arial" w:cs="Arial"/>
                <w:sz w:val="18"/>
                <w:szCs w:val="18"/>
              </w:rPr>
            </w:pPr>
            <w:r w:rsidRPr="00440359">
              <w:rPr>
                <w:rFonts w:ascii="Arial" w:eastAsia="Times New Roman" w:hAnsi="Arial" w:cs="Arial"/>
                <w:sz w:val="18"/>
                <w:szCs w:val="18"/>
              </w:rPr>
              <w:t xml:space="preserve">The configurations identified are not production and DR, but rather production with no DR provided and production with DR provided as described. The Commonwealth confirms that SLAs do not apply to idle machines that are designated as DR.  </w:t>
            </w:r>
            <w:r w:rsidR="00BC008F" w:rsidRPr="00440359">
              <w:rPr>
                <w:rFonts w:ascii="Arial" w:eastAsia="Times New Roman" w:hAnsi="Arial" w:cs="Arial"/>
                <w:sz w:val="18"/>
                <w:szCs w:val="18"/>
              </w:rPr>
              <w:t>T</w:t>
            </w:r>
            <w:r w:rsidRPr="00440359">
              <w:rPr>
                <w:rFonts w:ascii="Arial" w:eastAsia="Times New Roman" w:hAnsi="Arial" w:cs="Arial"/>
                <w:sz w:val="18"/>
                <w:szCs w:val="18"/>
              </w:rPr>
              <w:t>he SLAs</w:t>
            </w:r>
            <w:r w:rsidR="00BC008F" w:rsidRPr="00440359">
              <w:rPr>
                <w:rFonts w:ascii="Arial" w:eastAsia="Times New Roman" w:hAnsi="Arial" w:cs="Arial"/>
                <w:sz w:val="18"/>
                <w:szCs w:val="18"/>
              </w:rPr>
              <w:t>, however,</w:t>
            </w:r>
            <w:r w:rsidRPr="00440359">
              <w:rPr>
                <w:rFonts w:ascii="Arial" w:eastAsia="Times New Roman" w:hAnsi="Arial" w:cs="Arial"/>
                <w:sz w:val="18"/>
                <w:szCs w:val="18"/>
              </w:rPr>
              <w:t xml:space="preserve"> transfer from Production to DR during declared DR condition once service is restored on the DR equipment</w:t>
            </w:r>
            <w:r w:rsidR="003017CD" w:rsidRPr="00440359">
              <w:rPr>
                <w:rFonts w:ascii="Arial" w:eastAsia="Times New Roman" w:hAnsi="Arial" w:cs="Arial"/>
                <w:sz w:val="18"/>
                <w:szCs w:val="18"/>
              </w:rPr>
              <w:t xml:space="preserve"> or RTO time has expired (which</w:t>
            </w:r>
            <w:r w:rsidRPr="00440359">
              <w:rPr>
                <w:rFonts w:ascii="Arial" w:eastAsia="Times New Roman" w:hAnsi="Arial" w:cs="Arial"/>
                <w:sz w:val="18"/>
                <w:szCs w:val="18"/>
              </w:rPr>
              <w:t xml:space="preserve">ever occurs first). </w:t>
            </w:r>
          </w:p>
        </w:tc>
      </w:tr>
      <w:tr w:rsidR="00182FE3" w:rsidRPr="00440359" w:rsidTr="00EE45CA">
        <w:trPr>
          <w:trHeight w:val="43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C24, C25, C29, C30, C34, C35, C39, C40, C46, C47, C53, C55, </w:t>
            </w:r>
            <w:r w:rsidRPr="00440359">
              <w:rPr>
                <w:rFonts w:ascii="Arial" w:eastAsia="Times New Roman" w:hAnsi="Arial" w:cs="Arial"/>
                <w:sz w:val="18"/>
                <w:szCs w:val="18"/>
              </w:rPr>
              <w:br/>
              <w:t>C60, C61, C68, C69, C73, C74</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Are the described servers in each cell a DR server or a production server with its matching DR server?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These configurations are production with DR provided as described. </w:t>
            </w:r>
          </w:p>
        </w:tc>
      </w:tr>
      <w:tr w:rsidR="00182FE3" w:rsidRPr="00440359" w:rsidTr="00EE45CA">
        <w:trPr>
          <w:trHeight w:val="312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C24, C25, C29, C30, C34, C35, C39, C40, C46, C47</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 The definition calls for restore from the backup location’s SAN. Does the Commonwealth assume that the matching production data will be SAN hosted?</w:t>
            </w:r>
            <w:r w:rsidRPr="00440359">
              <w:rPr>
                <w:rFonts w:ascii="Arial" w:eastAsia="Times New Roman" w:hAnsi="Arial" w:cs="Arial"/>
                <w:sz w:val="18"/>
                <w:szCs w:val="18"/>
              </w:rPr>
              <w:br/>
            </w:r>
            <w:r w:rsidRPr="00440359">
              <w:rPr>
                <w:rFonts w:ascii="Arial" w:eastAsia="Times New Roman" w:hAnsi="Arial" w:cs="Arial"/>
                <w:sz w:val="18"/>
                <w:szCs w:val="18"/>
              </w:rPr>
              <w:br/>
              <w:t>(b) What are the volumes of production SAN storage that will require replication on a backup location’s SAN?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 (a) Yes, the restoration defined in this section refers to data being replicated to a secondary data center storage </w:t>
            </w:r>
            <w:r w:rsidR="00BC008F" w:rsidRPr="00440359">
              <w:rPr>
                <w:rFonts w:ascii="Arial" w:eastAsia="Times New Roman" w:hAnsi="Arial" w:cs="Arial"/>
                <w:sz w:val="18"/>
                <w:szCs w:val="18"/>
              </w:rPr>
              <w:t>system and</w:t>
            </w:r>
            <w:r w:rsidRPr="00440359">
              <w:rPr>
                <w:rFonts w:ascii="Arial" w:eastAsia="Times New Roman" w:hAnsi="Arial" w:cs="Arial"/>
                <w:sz w:val="18"/>
                <w:szCs w:val="18"/>
              </w:rPr>
              <w:t xml:space="preserve"> being restored from there, as opposed to being restored from tape.</w:t>
            </w:r>
            <w:r w:rsidRPr="00440359">
              <w:rPr>
                <w:rFonts w:ascii="Arial" w:eastAsia="Times New Roman" w:hAnsi="Arial" w:cs="Arial"/>
                <w:sz w:val="18"/>
                <w:szCs w:val="18"/>
              </w:rPr>
              <w:br/>
            </w:r>
            <w:r w:rsidRPr="00440359">
              <w:rPr>
                <w:rFonts w:ascii="Arial" w:eastAsia="Times New Roman" w:hAnsi="Arial" w:cs="Arial"/>
                <w:sz w:val="18"/>
                <w:szCs w:val="18"/>
              </w:rPr>
              <w:br/>
              <w:t>(b) The volume of data to be replicated will vary by the systems/applications. Offerors should only include pricing for the Production and DR servers for the configuration as defined in Schedule I.  Offerors must provide SAN storage pricing in the Storage and Backup - Fully Managed section of Schedule I  on the Catalog of Services tab.</w:t>
            </w:r>
          </w:p>
        </w:tc>
      </w:tr>
      <w:tr w:rsidR="00182FE3" w:rsidRPr="00440359"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Schedule I </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C53, C55, C60, C61</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Mainframes are typically attached directly to storage. Is it the Commonwealth’s desire to connect mainframes to SAN storage at one or both of production and backup locations?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Yes, the Commonwealth requires SAN storage connections.  The location of the SAN storage should be proposed by the Offeror.  Offerors should propose their best solution for meeting the configuration requirements and SLA tier ordered.</w:t>
            </w:r>
          </w:p>
        </w:tc>
      </w:tr>
      <w:tr w:rsidR="00182FE3" w:rsidRPr="00440359" w:rsidTr="00EE45CA">
        <w:trPr>
          <w:trHeight w:val="48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D</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M-5</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w:t>
            </w:r>
          </w:p>
        </w:tc>
        <w:tc>
          <w:tcPr>
            <w:tcW w:w="5513" w:type="dxa"/>
            <w:tcBorders>
              <w:top w:val="nil"/>
              <w:left w:val="nil"/>
              <w:bottom w:val="single" w:sz="4" w:space="0" w:color="auto"/>
              <w:right w:val="single" w:sz="4" w:space="0" w:color="auto"/>
            </w:tcBorders>
            <w:shd w:val="clear" w:color="auto" w:fill="auto"/>
            <w:noWrap/>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What is the data that will be gathered?</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All data the selected Offeror needs to prepare the Detailed Transition Plan.</w:t>
            </w:r>
          </w:p>
        </w:tc>
      </w:tr>
      <w:tr w:rsidR="00182FE3" w:rsidRPr="00440359" w:rsidTr="00EE45CA">
        <w:trPr>
          <w:trHeight w:val="19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89</w:t>
            </w:r>
          </w:p>
        </w:tc>
        <w:tc>
          <w:tcPr>
            <w:tcW w:w="138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r w:rsidRPr="00440359">
              <w:rPr>
                <w:rFonts w:ascii="Arial" w:eastAsia="Times New Roman" w:hAnsi="Arial" w:cs="Arial"/>
                <w:sz w:val="18"/>
                <w:szCs w:val="18"/>
              </w:rPr>
              <w:br/>
              <w:t>&lt;CONSIDER NOT ASKING&gt;</w:t>
            </w:r>
          </w:p>
        </w:tc>
        <w:tc>
          <w:tcPr>
            <w:tcW w:w="1407"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New Answers #5</w:t>
            </w:r>
          </w:p>
        </w:tc>
        <w:tc>
          <w:tcPr>
            <w:tcW w:w="1381" w:type="dxa"/>
            <w:tcBorders>
              <w:top w:val="nil"/>
              <w:left w:val="nil"/>
              <w:bottom w:val="single" w:sz="4" w:space="0" w:color="auto"/>
              <w:right w:val="single" w:sz="4" w:space="0" w:color="auto"/>
            </w:tcBorders>
            <w:shd w:val="clear" w:color="000000" w:fill="FFFFFF"/>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115</w:t>
            </w:r>
          </w:p>
        </w:tc>
        <w:tc>
          <w:tcPr>
            <w:tcW w:w="5513"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Does the Commonwealth anticipate that “Basic” tiered storage will be provided as requested or as used with no prior request required? How does the Commonwealth anticipate that a workload will reserve storage?</w:t>
            </w:r>
          </w:p>
        </w:tc>
        <w:tc>
          <w:tcPr>
            <w:tcW w:w="6515" w:type="dxa"/>
            <w:tcBorders>
              <w:top w:val="nil"/>
              <w:left w:val="nil"/>
              <w:bottom w:val="single" w:sz="4" w:space="0" w:color="auto"/>
              <w:right w:val="single" w:sz="4" w:space="0" w:color="auto"/>
            </w:tcBorders>
            <w:shd w:val="clear" w:color="000000" w:fill="FFFFFF"/>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Commonwealth anticipates that "Basic" tiered storage will be Pay-As-You-Go based on the capacity ordered. </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90</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#19</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121</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Will the Commonwealth please characterize short-term need with a length of time the need will be incurred and the frequency the need will appear?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As required in Schedule I, third party software should be priced based on a per unit per month</w:t>
            </w:r>
            <w:r w:rsidR="00BC008F" w:rsidRPr="00440359">
              <w:rPr>
                <w:rFonts w:ascii="Arial" w:eastAsia="Times New Roman" w:hAnsi="Arial" w:cs="Arial"/>
                <w:sz w:val="18"/>
                <w:szCs w:val="18"/>
              </w:rPr>
              <w:t xml:space="preserve"> basis</w:t>
            </w:r>
            <w:r w:rsidRPr="00440359">
              <w:rPr>
                <w:rFonts w:ascii="Arial" w:eastAsia="Times New Roman" w:hAnsi="Arial" w:cs="Arial"/>
                <w:sz w:val="18"/>
                <w:szCs w:val="18"/>
              </w:rPr>
              <w:t>.</w:t>
            </w:r>
          </w:p>
        </w:tc>
      </w:tr>
      <w:tr w:rsidR="00182FE3" w:rsidRPr="00440359" w:rsidTr="00EE45CA">
        <w:trPr>
          <w:trHeight w:val="3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91</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#34</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125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 Please describe in detail the application support to be provided in EDC’s Fully Managed services where the Offeror will now assume responsibility for application support (i.e. application design, application development, application maintenance, which applications, products use, etc.). </w:t>
            </w:r>
            <w:r w:rsidRPr="00440359">
              <w:rPr>
                <w:rFonts w:ascii="Arial" w:eastAsia="Times New Roman" w:hAnsi="Arial" w:cs="Arial"/>
                <w:sz w:val="18"/>
                <w:szCs w:val="18"/>
              </w:rPr>
              <w:br/>
              <w:t xml:space="preserve"> </w:t>
            </w:r>
            <w:r w:rsidRPr="00440359">
              <w:rPr>
                <w:rFonts w:ascii="Arial" w:eastAsia="Times New Roman" w:hAnsi="Arial" w:cs="Arial"/>
                <w:sz w:val="18"/>
                <w:szCs w:val="18"/>
              </w:rPr>
              <w:br/>
              <w:t>(b) Will this application support be provided as an optional service and billed on a T&amp;M basis or should it now be bundled in one of the Resource Units for both Fully Managed or Managed Only categories in Schedule I?</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a) Fully managed services require end to end support of all of the backend infrastructure, server hardware, operating systems and applications.  It is all inclusive. </w:t>
            </w:r>
            <w:r w:rsidRPr="00440359">
              <w:rPr>
                <w:rFonts w:ascii="Arial" w:eastAsia="Times New Roman" w:hAnsi="Arial" w:cs="Arial"/>
                <w:sz w:val="18"/>
                <w:szCs w:val="18"/>
              </w:rPr>
              <w:br/>
            </w:r>
            <w:r w:rsidRPr="00440359">
              <w:rPr>
                <w:rFonts w:ascii="Arial" w:eastAsia="Times New Roman" w:hAnsi="Arial" w:cs="Arial"/>
                <w:sz w:val="18"/>
                <w:szCs w:val="18"/>
              </w:rPr>
              <w:br/>
              <w:t xml:space="preserve">b) Fully managed support will not be on a T&amp;M basis.  The support costs must be built in </w:t>
            </w:r>
            <w:r w:rsidR="00BC008F" w:rsidRPr="00440359">
              <w:rPr>
                <w:rFonts w:ascii="Arial" w:eastAsia="Times New Roman" w:hAnsi="Arial" w:cs="Arial"/>
                <w:sz w:val="18"/>
                <w:szCs w:val="18"/>
              </w:rPr>
              <w:t>in</w:t>
            </w:r>
            <w:r w:rsidRPr="00440359">
              <w:rPr>
                <w:rFonts w:ascii="Arial" w:eastAsia="Times New Roman" w:hAnsi="Arial" w:cs="Arial"/>
                <w:sz w:val="18"/>
                <w:szCs w:val="18"/>
              </w:rPr>
              <w:t xml:space="preserve">to the Fully Managed offering.  Managed Only services include infrastructure support costs </w:t>
            </w:r>
            <w:r w:rsidR="00BC008F" w:rsidRPr="00440359">
              <w:rPr>
                <w:rFonts w:ascii="Arial" w:eastAsia="Times New Roman" w:hAnsi="Arial" w:cs="Arial"/>
                <w:sz w:val="18"/>
                <w:szCs w:val="18"/>
              </w:rPr>
              <w:t>and do not include</w:t>
            </w:r>
            <w:r w:rsidRPr="00440359">
              <w:rPr>
                <w:rFonts w:ascii="Arial" w:eastAsia="Times New Roman" w:hAnsi="Arial" w:cs="Arial"/>
                <w:sz w:val="18"/>
                <w:szCs w:val="18"/>
              </w:rPr>
              <w:t xml:space="preserve"> application level support costs.</w:t>
            </w:r>
          </w:p>
        </w:tc>
      </w:tr>
      <w:tr w:rsidR="00182FE3" w:rsidRPr="00440359" w:rsidTr="00EE45CA">
        <w:trPr>
          <w:trHeight w:val="48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92</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New Answers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138, (Question Number 68)</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(a) For the instrumentation that is now needed, does the Commonwealth anticipate that this instrumentation is only needed for the hardware infrastructure that is hosting an application environment or within/wrapping the agencies application software programs?</w:t>
            </w:r>
            <w:r w:rsidRPr="00440359">
              <w:rPr>
                <w:rFonts w:ascii="Arial" w:eastAsia="Times New Roman" w:hAnsi="Arial" w:cs="Arial"/>
                <w:sz w:val="18"/>
                <w:szCs w:val="18"/>
              </w:rPr>
              <w:br/>
            </w:r>
            <w:r w:rsidRPr="00440359">
              <w:rPr>
                <w:rFonts w:ascii="Arial" w:eastAsia="Times New Roman" w:hAnsi="Arial" w:cs="Arial"/>
                <w:sz w:val="18"/>
                <w:szCs w:val="18"/>
              </w:rPr>
              <w:br/>
              <w:t>(b) If within or wrapping the applications, will the Commonwealth be providing the necessary application changes necessary to instrument the applications for availability measurement?</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BC008F">
            <w:pPr>
              <w:rPr>
                <w:rFonts w:ascii="Arial" w:eastAsia="Times New Roman" w:hAnsi="Arial" w:cs="Arial"/>
                <w:sz w:val="18"/>
                <w:szCs w:val="18"/>
              </w:rPr>
            </w:pPr>
            <w:r w:rsidRPr="00440359">
              <w:rPr>
                <w:rFonts w:ascii="Arial" w:eastAsia="Times New Roman" w:hAnsi="Arial" w:cs="Arial"/>
                <w:sz w:val="18"/>
                <w:szCs w:val="18"/>
              </w:rPr>
              <w:t xml:space="preserve">a)  The instrument to measure and report application availability </w:t>
            </w:r>
            <w:r w:rsidR="00BC008F" w:rsidRPr="00440359">
              <w:rPr>
                <w:rFonts w:ascii="Arial" w:eastAsia="Times New Roman" w:hAnsi="Arial" w:cs="Arial"/>
                <w:sz w:val="18"/>
                <w:szCs w:val="18"/>
              </w:rPr>
              <w:t>must</w:t>
            </w:r>
            <w:r w:rsidRPr="00440359">
              <w:rPr>
                <w:rFonts w:ascii="Arial" w:eastAsia="Times New Roman" w:hAnsi="Arial" w:cs="Arial"/>
                <w:sz w:val="18"/>
                <w:szCs w:val="18"/>
              </w:rPr>
              <w:t xml:space="preserve"> be made available to any and all systems/applications that the Offeror is required to meet defined SLAs.  It </w:t>
            </w:r>
            <w:r w:rsidR="00BC008F" w:rsidRPr="00440359">
              <w:rPr>
                <w:rFonts w:ascii="Arial" w:eastAsia="Times New Roman" w:hAnsi="Arial" w:cs="Arial"/>
                <w:sz w:val="18"/>
                <w:szCs w:val="18"/>
              </w:rPr>
              <w:t xml:space="preserve">must </w:t>
            </w:r>
            <w:r w:rsidRPr="00440359">
              <w:rPr>
                <w:rFonts w:ascii="Arial" w:eastAsia="Times New Roman" w:hAnsi="Arial" w:cs="Arial"/>
                <w:sz w:val="18"/>
                <w:szCs w:val="18"/>
              </w:rPr>
              <w:t xml:space="preserve">be configured to monitor all infrastructure, systems and services that constitute service availability.  </w:t>
            </w:r>
            <w:r w:rsidRPr="00440359">
              <w:rPr>
                <w:rFonts w:ascii="Arial" w:eastAsia="Times New Roman" w:hAnsi="Arial" w:cs="Arial"/>
                <w:sz w:val="18"/>
                <w:szCs w:val="18"/>
              </w:rPr>
              <w:br/>
            </w:r>
            <w:r w:rsidRPr="00440359">
              <w:rPr>
                <w:rFonts w:ascii="Arial" w:eastAsia="Times New Roman" w:hAnsi="Arial" w:cs="Arial"/>
                <w:sz w:val="18"/>
                <w:szCs w:val="18"/>
              </w:rPr>
              <w:br/>
              <w:t xml:space="preserve">b) The Offeror must support the monitoring of applications through use of the following monitoring tools: </w:t>
            </w:r>
            <w:r w:rsidRPr="00440359">
              <w:rPr>
                <w:rFonts w:ascii="Arial" w:eastAsia="Times New Roman" w:hAnsi="Arial" w:cs="Arial"/>
                <w:sz w:val="18"/>
                <w:szCs w:val="18"/>
              </w:rPr>
              <w:br/>
            </w:r>
            <w:r w:rsidRPr="00440359">
              <w:rPr>
                <w:rFonts w:ascii="Arial" w:eastAsia="Times New Roman" w:hAnsi="Arial" w:cs="Arial"/>
                <w:sz w:val="18"/>
                <w:szCs w:val="18"/>
              </w:rPr>
              <w:br/>
              <w:t>The following are application monitoring tools known to currently be in use by the Commonwealth: MS SCOM, MS SCCM, Paessler (External URL Testing), CiscoWorks, NIMS, syslog, Vmware vCenter, Idera SQL DM, Oracle OEM, Big Brother, EMC Data Protection Advisor, JC Metasys, IBM TPC, Tivoli ITCAM, SightLine, Wiley, SAP Solutions Manager, IBM Director, Nagius.</w:t>
            </w:r>
          </w:p>
        </w:tc>
      </w:tr>
      <w:tr w:rsidR="00182FE3" w:rsidRPr="00440359" w:rsidTr="001A5115">
        <w:trPr>
          <w:trHeight w:val="26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93</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New Answers </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123, (Question Number 27)</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In the Commonwealth’s response to question #27, they respond, “Applications cannot be billed until the application has been fully transitioned to the Offeror and accepted by the Commonwealth.”  Is it correct to interpret this to mean once an application, for example The Command Contact List is relocated from the PSP data center to Offerer’s data center, the RUs supporting this application can be billed to the Commonwealth, regardless of the state of all other applications within the PSP data center?  </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BC008F">
            <w:pPr>
              <w:rPr>
                <w:rFonts w:ascii="Arial" w:eastAsia="Times New Roman" w:hAnsi="Arial" w:cs="Arial"/>
                <w:sz w:val="18"/>
                <w:szCs w:val="18"/>
              </w:rPr>
            </w:pPr>
            <w:r w:rsidRPr="00440359">
              <w:rPr>
                <w:rFonts w:ascii="Arial" w:eastAsia="Times New Roman" w:hAnsi="Arial" w:cs="Arial"/>
                <w:sz w:val="18"/>
                <w:szCs w:val="18"/>
              </w:rPr>
              <w:t>That is correct</w:t>
            </w:r>
            <w:r w:rsidR="00BC008F" w:rsidRPr="00440359">
              <w:rPr>
                <w:rFonts w:ascii="Arial" w:eastAsia="Times New Roman" w:hAnsi="Arial" w:cs="Arial"/>
                <w:sz w:val="18"/>
                <w:szCs w:val="18"/>
              </w:rPr>
              <w:t>.</w:t>
            </w:r>
            <w:r w:rsidRPr="00440359">
              <w:rPr>
                <w:rFonts w:ascii="Arial" w:eastAsia="Times New Roman" w:hAnsi="Arial" w:cs="Arial"/>
                <w:sz w:val="18"/>
                <w:szCs w:val="18"/>
              </w:rPr>
              <w:t xml:space="preserve"> </w:t>
            </w:r>
            <w:r w:rsidR="00BC008F" w:rsidRPr="00440359">
              <w:rPr>
                <w:rFonts w:ascii="Arial" w:eastAsia="Times New Roman" w:hAnsi="Arial" w:cs="Arial"/>
                <w:sz w:val="18"/>
                <w:szCs w:val="18"/>
              </w:rPr>
              <w:t xml:space="preserve"> The selected Offeror </w:t>
            </w:r>
            <w:r w:rsidRPr="00440359">
              <w:rPr>
                <w:rFonts w:ascii="Arial" w:eastAsia="Times New Roman" w:hAnsi="Arial" w:cs="Arial"/>
                <w:sz w:val="18"/>
                <w:szCs w:val="18"/>
              </w:rPr>
              <w:t xml:space="preserve">may bill for application infrastructure once the application has been fully transitioned to the </w:t>
            </w:r>
            <w:r w:rsidR="00BC008F" w:rsidRPr="00440359">
              <w:rPr>
                <w:rFonts w:ascii="Arial" w:eastAsia="Times New Roman" w:hAnsi="Arial" w:cs="Arial"/>
                <w:sz w:val="18"/>
                <w:szCs w:val="18"/>
              </w:rPr>
              <w:t xml:space="preserve">selected Offeror </w:t>
            </w:r>
            <w:r w:rsidRPr="00440359">
              <w:rPr>
                <w:rFonts w:ascii="Arial" w:eastAsia="Times New Roman" w:hAnsi="Arial" w:cs="Arial"/>
                <w:sz w:val="18"/>
                <w:szCs w:val="18"/>
              </w:rPr>
              <w:t xml:space="preserve">and accepted by the Commonwealth.  </w:t>
            </w:r>
          </w:p>
        </w:tc>
      </w:tr>
      <w:tr w:rsidR="00182FE3" w:rsidRPr="00440359" w:rsidTr="001A5115">
        <w:trPr>
          <w:trHeight w:val="3840"/>
        </w:trPr>
        <w:tc>
          <w:tcPr>
            <w:tcW w:w="68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94</w:t>
            </w:r>
          </w:p>
        </w:tc>
        <w:tc>
          <w:tcPr>
            <w:tcW w:w="138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Master Questions and Answers</w:t>
            </w:r>
          </w:p>
        </w:tc>
        <w:tc>
          <w:tcPr>
            <w:tcW w:w="1407"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xml:space="preserve">New Answers </w:t>
            </w:r>
          </w:p>
        </w:tc>
        <w:tc>
          <w:tcPr>
            <w:tcW w:w="1381" w:type="dxa"/>
            <w:tcBorders>
              <w:top w:val="single" w:sz="4" w:space="0" w:color="auto"/>
              <w:left w:val="nil"/>
              <w:bottom w:val="single" w:sz="4" w:space="0" w:color="auto"/>
              <w:right w:val="single" w:sz="4" w:space="0" w:color="auto"/>
            </w:tcBorders>
            <w:shd w:val="clear" w:color="auto" w:fill="FFFFFF" w:themeFill="background1"/>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114, (Answer to Question Number 2)</w:t>
            </w:r>
          </w:p>
        </w:tc>
        <w:tc>
          <w:tcPr>
            <w:tcW w:w="5513" w:type="dxa"/>
            <w:tcBorders>
              <w:top w:val="single" w:sz="4" w:space="0" w:color="auto"/>
              <w:left w:val="nil"/>
              <w:bottom w:val="single" w:sz="4" w:space="0" w:color="auto"/>
              <w:right w:val="single" w:sz="4" w:space="0" w:color="auto"/>
            </w:tcBorders>
            <w:shd w:val="clear" w:color="auto" w:fill="FFFFFF" w:themeFill="background1"/>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Under its contract the incumbent contractor is required to provide transition assistance after expiration (December 30, 2014) at its “then-prevailing time and materials rates for state governmental customers”.  </w:t>
            </w:r>
            <w:r w:rsidRPr="00440359">
              <w:rPr>
                <w:rFonts w:ascii="Arial" w:eastAsia="Times New Roman" w:hAnsi="Arial" w:cs="Arial"/>
                <w:sz w:val="18"/>
                <w:szCs w:val="18"/>
              </w:rPr>
              <w:br/>
            </w:r>
            <w:r w:rsidRPr="00440359">
              <w:rPr>
                <w:rFonts w:ascii="Arial" w:eastAsia="Times New Roman" w:hAnsi="Arial" w:cs="Arial"/>
                <w:sz w:val="18"/>
                <w:szCs w:val="18"/>
              </w:rPr>
              <w:br/>
              <w:t>a) Please confirm that the selected Offeror will not be responsible to fund such assistance and that the Commonwealth will fund ALL transition assistant as proposed or assumed necessary by the selected Offeror.</w:t>
            </w:r>
            <w:r w:rsidRPr="00440359">
              <w:rPr>
                <w:rFonts w:ascii="Arial" w:eastAsia="Times New Roman" w:hAnsi="Arial" w:cs="Arial"/>
                <w:sz w:val="18"/>
                <w:szCs w:val="18"/>
              </w:rPr>
              <w:br/>
            </w:r>
            <w:r w:rsidRPr="00440359">
              <w:rPr>
                <w:rFonts w:ascii="Arial" w:eastAsia="Times New Roman" w:hAnsi="Arial" w:cs="Arial"/>
                <w:sz w:val="18"/>
                <w:szCs w:val="18"/>
              </w:rPr>
              <w:br/>
              <w:t>b) How will the additional transition assistance costs, now being paid by the Commonwealth, factor into the cost evaluation for this RFP?</w:t>
            </w:r>
          </w:p>
        </w:tc>
        <w:tc>
          <w:tcPr>
            <w:tcW w:w="6515" w:type="dxa"/>
            <w:tcBorders>
              <w:top w:val="single" w:sz="4" w:space="0" w:color="auto"/>
              <w:left w:val="nil"/>
              <w:bottom w:val="single" w:sz="4" w:space="0" w:color="auto"/>
              <w:right w:val="single" w:sz="4" w:space="0" w:color="auto"/>
            </w:tcBorders>
            <w:shd w:val="clear" w:color="auto" w:fill="FFFFFF" w:themeFill="background1"/>
            <w:hideMark/>
          </w:tcPr>
          <w:p w:rsidR="00125D54" w:rsidRPr="00440359" w:rsidRDefault="00182FE3">
            <w:pPr>
              <w:rPr>
                <w:rFonts w:ascii="Arial" w:eastAsia="Times New Roman" w:hAnsi="Arial" w:cs="Arial"/>
                <w:sz w:val="18"/>
                <w:szCs w:val="18"/>
              </w:rPr>
            </w:pPr>
            <w:r w:rsidRPr="00440359">
              <w:rPr>
                <w:rFonts w:ascii="Arial" w:eastAsia="Times New Roman" w:hAnsi="Arial" w:cs="Arial"/>
                <w:sz w:val="18"/>
                <w:szCs w:val="18"/>
              </w:rPr>
              <w:t xml:space="preserve">a) </w:t>
            </w:r>
            <w:r w:rsidR="00743835" w:rsidRPr="00440359">
              <w:rPr>
                <w:rFonts w:ascii="Arial" w:eastAsia="Times New Roman" w:hAnsi="Arial" w:cs="Arial"/>
                <w:sz w:val="18"/>
                <w:szCs w:val="18"/>
              </w:rPr>
              <w:t xml:space="preserve">Offerors should not assume all transition assistance as proposed or assumed necessary will be provided by the incumbent.   </w:t>
            </w:r>
            <w:r w:rsidRPr="00440359">
              <w:rPr>
                <w:rFonts w:ascii="Arial" w:eastAsia="Times New Roman" w:hAnsi="Arial" w:cs="Arial"/>
                <w:sz w:val="18"/>
                <w:szCs w:val="18"/>
              </w:rPr>
              <w:t xml:space="preserve">The selected Offeror will not be responsible to </w:t>
            </w:r>
            <w:r w:rsidR="00BC008F" w:rsidRPr="00440359">
              <w:rPr>
                <w:rFonts w:ascii="Arial" w:eastAsia="Times New Roman" w:hAnsi="Arial" w:cs="Arial"/>
                <w:sz w:val="18"/>
                <w:szCs w:val="18"/>
              </w:rPr>
              <w:t xml:space="preserve">pay for </w:t>
            </w:r>
            <w:r w:rsidRPr="00440359">
              <w:rPr>
                <w:rFonts w:ascii="Arial" w:eastAsia="Times New Roman" w:hAnsi="Arial" w:cs="Arial"/>
                <w:sz w:val="18"/>
                <w:szCs w:val="18"/>
              </w:rPr>
              <w:t xml:space="preserve">transition assistance provided by the incumbent.  </w:t>
            </w:r>
            <w:r w:rsidR="00BC008F" w:rsidRPr="00440359">
              <w:rPr>
                <w:rFonts w:ascii="Arial" w:eastAsia="Times New Roman" w:hAnsi="Arial" w:cs="Arial"/>
                <w:sz w:val="18"/>
                <w:szCs w:val="18"/>
              </w:rPr>
              <w:t xml:space="preserve">For purposes of submitting a proposal, </w:t>
            </w:r>
            <w:r w:rsidRPr="00440359">
              <w:rPr>
                <w:rFonts w:ascii="Arial" w:eastAsia="Times New Roman" w:hAnsi="Arial" w:cs="Arial"/>
                <w:sz w:val="18"/>
                <w:szCs w:val="18"/>
              </w:rPr>
              <w:t>Offerors should assume transition assistance provided by the incumbent will be minimal.  The selected Offeror is responsible to fund all other transition costs.</w:t>
            </w:r>
            <w:r w:rsidRPr="00440359">
              <w:rPr>
                <w:rFonts w:ascii="Arial" w:eastAsia="Times New Roman" w:hAnsi="Arial" w:cs="Arial"/>
                <w:sz w:val="18"/>
                <w:szCs w:val="18"/>
              </w:rPr>
              <w:br/>
            </w:r>
            <w:r w:rsidRPr="00440359">
              <w:rPr>
                <w:rFonts w:ascii="Arial" w:eastAsia="Times New Roman" w:hAnsi="Arial" w:cs="Arial"/>
                <w:sz w:val="18"/>
                <w:szCs w:val="18"/>
              </w:rPr>
              <w:br/>
              <w:t>b)</w:t>
            </w:r>
            <w:r w:rsidR="00D032EC" w:rsidRPr="00440359">
              <w:rPr>
                <w:rFonts w:ascii="Arial" w:eastAsia="Times New Roman" w:hAnsi="Arial" w:cs="Arial"/>
                <w:sz w:val="18"/>
                <w:szCs w:val="18"/>
              </w:rPr>
              <w:t xml:space="preserve">The </w:t>
            </w:r>
            <w:r w:rsidR="004229EA" w:rsidRPr="00440359">
              <w:rPr>
                <w:rFonts w:ascii="Arial" w:hAnsi="Arial" w:cs="Arial"/>
                <w:sz w:val="18"/>
                <w:szCs w:val="18"/>
              </w:rPr>
              <w:t>amounts paid by the Commonwealth under other contracts is irrelevant to this procurement</w:t>
            </w:r>
            <w:r w:rsidR="00D032EC" w:rsidRPr="00440359">
              <w:rPr>
                <w:rFonts w:ascii="Arial" w:eastAsia="Times New Roman" w:hAnsi="Arial" w:cs="Arial"/>
                <w:sz w:val="18"/>
                <w:szCs w:val="18"/>
              </w:rPr>
              <w:t>.</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95</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language for Config - 4 and Config - 5 servers includes references to “Disaster Recovery Server”.  Is it the Commonwealth’s intention that these quantities of servers are in the Disaster Recovery site?  If not can the Commonwealth provide clarification?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The configurations identified in Schedule I are not production and DR, but rather production with no DR provided and production with DR provided as described. </w:t>
            </w:r>
          </w:p>
        </w:tc>
      </w:tr>
      <w:tr w:rsidR="00182FE3" w:rsidRPr="00440359" w:rsidTr="00EE45CA">
        <w:trPr>
          <w:trHeight w:val="9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96</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Configuration Definitions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 </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The language for Config - 4 servers includes references “hourly data synchronization”?  Is it the Commonwealth intention that this language indicates an RPO of no more than 1 hour?</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Yes, </w:t>
            </w:r>
            <w:r w:rsidR="002C0C77" w:rsidRPr="00440359">
              <w:rPr>
                <w:rFonts w:ascii="Arial" w:eastAsia="Times New Roman" w:hAnsi="Arial" w:cs="Arial"/>
                <w:sz w:val="18"/>
                <w:szCs w:val="18"/>
              </w:rPr>
              <w:t xml:space="preserve">an </w:t>
            </w:r>
            <w:r w:rsidRPr="00440359">
              <w:rPr>
                <w:rFonts w:ascii="Arial" w:eastAsia="Times New Roman" w:hAnsi="Arial" w:cs="Arial"/>
                <w:sz w:val="18"/>
                <w:szCs w:val="18"/>
              </w:rPr>
              <w:t>RPO of no more than 1 hour</w:t>
            </w:r>
            <w:r w:rsidR="002C0C77" w:rsidRPr="00440359">
              <w:rPr>
                <w:rFonts w:ascii="Arial" w:eastAsia="Times New Roman" w:hAnsi="Arial" w:cs="Arial"/>
                <w:sz w:val="18"/>
                <w:szCs w:val="18"/>
              </w:rPr>
              <w:t xml:space="preserve"> is required</w:t>
            </w:r>
            <w:r w:rsidRPr="00440359">
              <w:rPr>
                <w:rFonts w:ascii="Arial" w:eastAsia="Times New Roman" w:hAnsi="Arial" w:cs="Arial"/>
                <w:sz w:val="18"/>
                <w:szCs w:val="18"/>
              </w:rPr>
              <w:t>.</w:t>
            </w:r>
          </w:p>
        </w:tc>
      </w:tr>
      <w:tr w:rsidR="00182FE3" w:rsidRPr="00440359" w:rsidTr="00EE45CA">
        <w:trPr>
          <w:trHeight w:val="14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97</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F</w:t>
            </w:r>
            <w:r w:rsidRPr="00440359">
              <w:rPr>
                <w:rFonts w:ascii="Arial" w:eastAsia="Times New Roman" w:hAnsi="Arial" w:cs="Arial"/>
                <w:sz w:val="18"/>
                <w:szCs w:val="18"/>
              </w:rPr>
              <w:br/>
              <w:t>Schedule K</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3.3.2.2</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155</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We understand that the Commonwealth expects the offeror to submit the initial security plan. Schedule K does not list the initial security plan as a deliverable and related milestones. Can the Commonwealth provide the milestone date for initial security plan submission?</w:t>
            </w:r>
          </w:p>
        </w:tc>
        <w:tc>
          <w:tcPr>
            <w:tcW w:w="6515"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 xml:space="preserve">Deliverable D-07.01 is the Security Management Plan.  </w:t>
            </w:r>
          </w:p>
        </w:tc>
      </w:tr>
      <w:tr w:rsidR="00182FE3" w:rsidRPr="00182FE3" w:rsidTr="00EE45CA">
        <w:trPr>
          <w:trHeight w:val="12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98</w:t>
            </w:r>
          </w:p>
        </w:tc>
        <w:tc>
          <w:tcPr>
            <w:tcW w:w="138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Schedule I</w:t>
            </w:r>
          </w:p>
        </w:tc>
        <w:tc>
          <w:tcPr>
            <w:tcW w:w="1407"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Transition Charges</w:t>
            </w:r>
          </w:p>
        </w:tc>
        <w:tc>
          <w:tcPr>
            <w:tcW w:w="1381" w:type="dxa"/>
            <w:tcBorders>
              <w:top w:val="nil"/>
              <w:left w:val="nil"/>
              <w:bottom w:val="single" w:sz="4" w:space="0" w:color="auto"/>
              <w:right w:val="single" w:sz="4" w:space="0" w:color="auto"/>
            </w:tcBorders>
            <w:shd w:val="clear" w:color="auto" w:fill="auto"/>
            <w:vAlign w:val="center"/>
            <w:hideMark/>
          </w:tcPr>
          <w:p w:rsidR="00182FE3" w:rsidRPr="00440359" w:rsidRDefault="00182FE3" w:rsidP="00182FE3">
            <w:pPr>
              <w:jc w:val="center"/>
              <w:rPr>
                <w:rFonts w:ascii="Arial" w:eastAsia="Times New Roman" w:hAnsi="Arial" w:cs="Arial"/>
                <w:sz w:val="18"/>
                <w:szCs w:val="18"/>
              </w:rPr>
            </w:pPr>
            <w:r w:rsidRPr="00440359">
              <w:rPr>
                <w:rFonts w:ascii="Arial" w:eastAsia="Times New Roman" w:hAnsi="Arial" w:cs="Arial"/>
                <w:sz w:val="18"/>
                <w:szCs w:val="18"/>
              </w:rPr>
              <w:t>Transition Charges tab</w:t>
            </w:r>
          </w:p>
        </w:tc>
        <w:tc>
          <w:tcPr>
            <w:tcW w:w="5513" w:type="dxa"/>
            <w:tcBorders>
              <w:top w:val="nil"/>
              <w:left w:val="nil"/>
              <w:bottom w:val="single" w:sz="4" w:space="0" w:color="auto"/>
              <w:right w:val="single" w:sz="4" w:space="0" w:color="auto"/>
            </w:tcBorders>
            <w:shd w:val="clear" w:color="auto" w:fill="auto"/>
            <w:hideMark/>
          </w:tcPr>
          <w:p w:rsidR="00182FE3" w:rsidRPr="00440359" w:rsidRDefault="00182FE3" w:rsidP="00182FE3">
            <w:pPr>
              <w:rPr>
                <w:rFonts w:ascii="Arial" w:eastAsia="Times New Roman" w:hAnsi="Arial" w:cs="Arial"/>
                <w:sz w:val="18"/>
                <w:szCs w:val="18"/>
              </w:rPr>
            </w:pPr>
            <w:r w:rsidRPr="00440359">
              <w:rPr>
                <w:rFonts w:ascii="Arial" w:eastAsia="Times New Roman" w:hAnsi="Arial" w:cs="Arial"/>
                <w:sz w:val="18"/>
                <w:szCs w:val="18"/>
              </w:rPr>
              <w:t>On the Transition Charges Tab, M-2 is now Contract Management, but has been left off the Transition Charges Milestone table?  Additionally, should Due Diligence now be listed as Data Gathering?</w:t>
            </w:r>
          </w:p>
        </w:tc>
        <w:tc>
          <w:tcPr>
            <w:tcW w:w="6515" w:type="dxa"/>
            <w:tcBorders>
              <w:top w:val="nil"/>
              <w:left w:val="nil"/>
              <w:bottom w:val="single" w:sz="4" w:space="0" w:color="auto"/>
              <w:right w:val="single" w:sz="4" w:space="0" w:color="auto"/>
            </w:tcBorders>
            <w:shd w:val="clear" w:color="auto" w:fill="auto"/>
            <w:hideMark/>
          </w:tcPr>
          <w:p w:rsidR="00182FE3" w:rsidRPr="00182FE3" w:rsidRDefault="00182FE3" w:rsidP="00182FE3">
            <w:pPr>
              <w:rPr>
                <w:rFonts w:ascii="Arial" w:eastAsia="Times New Roman" w:hAnsi="Arial" w:cs="Arial"/>
                <w:sz w:val="18"/>
                <w:szCs w:val="18"/>
              </w:rPr>
            </w:pPr>
            <w:r w:rsidRPr="00440359">
              <w:rPr>
                <w:rFonts w:ascii="Arial" w:eastAsia="Times New Roman" w:hAnsi="Arial" w:cs="Arial"/>
                <w:sz w:val="18"/>
                <w:szCs w:val="18"/>
              </w:rPr>
              <w:t>Schedule I has been revised to align with the Milestones defined in Schedule D. Yes, Due Diligence is now listed as Data Gathering.</w:t>
            </w:r>
          </w:p>
        </w:tc>
      </w:tr>
    </w:tbl>
    <w:p w:rsidR="00182FE3" w:rsidRDefault="00182FE3" w:rsidP="00003895">
      <w:pPr>
        <w:pStyle w:val="NoSpacing"/>
        <w:rPr>
          <w:rFonts w:ascii="Times New Roman" w:hAnsi="Times New Roman"/>
          <w:color w:val="000000" w:themeColor="text1"/>
          <w:sz w:val="18"/>
          <w:szCs w:val="18"/>
        </w:rPr>
      </w:pPr>
    </w:p>
    <w:sectPr w:rsidR="00182FE3" w:rsidSect="00F24D74">
      <w:headerReference w:type="even" r:id="rId19"/>
      <w:headerReference w:type="default" r:id="rId20"/>
      <w:footerReference w:type="even" r:id="rId21"/>
      <w:footerReference w:type="default" r:id="rId22"/>
      <w:headerReference w:type="first" r:id="rId23"/>
      <w:footerReference w:type="first" r:id="rId24"/>
      <w:pgSz w:w="20160" w:h="12240" w:orient="landscape"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835" w:rsidRDefault="00743835" w:rsidP="00DB57B2">
      <w:r>
        <w:separator/>
      </w:r>
    </w:p>
  </w:endnote>
  <w:endnote w:type="continuationSeparator" w:id="0">
    <w:p w:rsidR="00743835" w:rsidRDefault="00743835" w:rsidP="00DB57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59" w:rsidRDefault="0044035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835" w:rsidRDefault="00743835">
    <w:pPr>
      <w:pStyle w:val="Footer"/>
      <w:jc w:val="center"/>
    </w:pPr>
    <w:r>
      <w:t xml:space="preserve">Page </w:t>
    </w:r>
    <w:r w:rsidR="00731498">
      <w:rPr>
        <w:b/>
      </w:rPr>
      <w:fldChar w:fldCharType="begin"/>
    </w:r>
    <w:r>
      <w:rPr>
        <w:b/>
      </w:rPr>
      <w:instrText xml:space="preserve"> PAGE </w:instrText>
    </w:r>
    <w:r w:rsidR="00731498">
      <w:rPr>
        <w:b/>
      </w:rPr>
      <w:fldChar w:fldCharType="separate"/>
    </w:r>
    <w:r w:rsidR="005579A8">
      <w:rPr>
        <w:b/>
        <w:noProof/>
      </w:rPr>
      <w:t>1</w:t>
    </w:r>
    <w:r w:rsidR="00731498">
      <w:rPr>
        <w:b/>
      </w:rPr>
      <w:fldChar w:fldCharType="end"/>
    </w:r>
    <w:r>
      <w:t xml:space="preserve"> of </w:t>
    </w:r>
    <w:r w:rsidR="00731498">
      <w:rPr>
        <w:b/>
      </w:rPr>
      <w:fldChar w:fldCharType="begin"/>
    </w:r>
    <w:r>
      <w:rPr>
        <w:b/>
      </w:rPr>
      <w:instrText xml:space="preserve"> NUMPAGES  </w:instrText>
    </w:r>
    <w:r w:rsidR="00731498">
      <w:rPr>
        <w:b/>
      </w:rPr>
      <w:fldChar w:fldCharType="separate"/>
    </w:r>
    <w:r w:rsidR="005579A8">
      <w:rPr>
        <w:b/>
        <w:noProof/>
      </w:rPr>
      <w:t>193</w:t>
    </w:r>
    <w:r w:rsidR="00731498">
      <w:rPr>
        <w:b/>
      </w:rPr>
      <w:fldChar w:fldCharType="end"/>
    </w:r>
  </w:p>
  <w:p w:rsidR="00743835" w:rsidRDefault="0074383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59" w:rsidRDefault="0044035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835" w:rsidRDefault="00743835" w:rsidP="00DB57B2">
      <w:r>
        <w:separator/>
      </w:r>
    </w:p>
  </w:footnote>
  <w:footnote w:type="continuationSeparator" w:id="0">
    <w:p w:rsidR="00743835" w:rsidRDefault="00743835" w:rsidP="00DB57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59" w:rsidRDefault="0044035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835" w:rsidRDefault="00743835" w:rsidP="007A72FA">
    <w:pPr>
      <w:pStyle w:val="Header"/>
      <w:pBdr>
        <w:bottom w:val="single" w:sz="4" w:space="1" w:color="auto"/>
      </w:pBdr>
    </w:pPr>
    <w:r>
      <w:rPr>
        <w:noProof/>
      </w:rPr>
      <w:drawing>
        <wp:inline distT="0" distB="0" distL="0" distR="0">
          <wp:extent cx="1771650" cy="38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1650" cy="381000"/>
                  </a:xfrm>
                  <a:prstGeom prst="rect">
                    <a:avLst/>
                  </a:prstGeom>
                  <a:noFill/>
                  <a:ln>
                    <a:noFill/>
                  </a:ln>
                </pic:spPr>
              </pic:pic>
            </a:graphicData>
          </a:graphic>
        </wp:inline>
      </w:drawing>
    </w:r>
    <w:r w:rsidRPr="00CE766F">
      <w:rPr>
        <w:sz w:val="20"/>
      </w:rPr>
      <w:t>Q</w:t>
    </w:r>
    <w:r w:rsidRPr="00CE766F">
      <w:rPr>
        <w:b/>
        <w:color w:val="17365D"/>
        <w:sz w:val="20"/>
      </w:rPr>
      <w:t xml:space="preserve">UESTIONS </w:t>
    </w:r>
    <w:r>
      <w:rPr>
        <w:b/>
        <w:color w:val="17365D"/>
        <w:sz w:val="20"/>
      </w:rPr>
      <w:t xml:space="preserve">AND ANSWERS FORM </w:t>
    </w:r>
    <w:r w:rsidRPr="00CE766F">
      <w:rPr>
        <w:b/>
        <w:color w:val="17365D"/>
        <w:sz w:val="20"/>
      </w:rPr>
      <w:t xml:space="preserve">FOR REQUEST FOR PROPOSAL DATA CENTER COMPUTING SERVICES (6100022698)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59" w:rsidRDefault="0044035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E7EA8"/>
    <w:multiLevelType w:val="hybridMultilevel"/>
    <w:tmpl w:val="201C1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078B4"/>
    <w:multiLevelType w:val="hybridMultilevel"/>
    <w:tmpl w:val="7D20D052"/>
    <w:lvl w:ilvl="0" w:tplc="521EAEEE">
      <w:start w:val="1"/>
      <w:numFmt w:val="decimal"/>
      <w:lvlText w:val="%1."/>
      <w:lvlJc w:val="left"/>
      <w:pPr>
        <w:ind w:left="720" w:hanging="36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E2678F"/>
    <w:multiLevelType w:val="hybridMultilevel"/>
    <w:tmpl w:val="471431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2272FE"/>
    <w:multiLevelType w:val="hybridMultilevel"/>
    <w:tmpl w:val="72080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004516"/>
    <w:multiLevelType w:val="hybridMultilevel"/>
    <w:tmpl w:val="1D56D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B41094"/>
    <w:multiLevelType w:val="hybridMultilevel"/>
    <w:tmpl w:val="B78E4DAE"/>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DD31B7"/>
    <w:multiLevelType w:val="hybridMultilevel"/>
    <w:tmpl w:val="B78E4DAE"/>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30044F"/>
    <w:multiLevelType w:val="hybridMultilevel"/>
    <w:tmpl w:val="71EE461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53C5EF3"/>
    <w:multiLevelType w:val="hybridMultilevel"/>
    <w:tmpl w:val="CFB4CDBE"/>
    <w:lvl w:ilvl="0" w:tplc="04090017">
      <w:start w:val="1"/>
      <w:numFmt w:val="lowerLetter"/>
      <w:lvlText w:val="%1)"/>
      <w:lvlJc w:val="left"/>
      <w:pPr>
        <w:ind w:left="37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7C0EA3"/>
    <w:multiLevelType w:val="hybridMultilevel"/>
    <w:tmpl w:val="69CAE7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8CB59C3"/>
    <w:multiLevelType w:val="hybridMultilevel"/>
    <w:tmpl w:val="9BC8E9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A7A62D2"/>
    <w:multiLevelType w:val="hybridMultilevel"/>
    <w:tmpl w:val="1AF44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A9215DB"/>
    <w:multiLevelType w:val="hybridMultilevel"/>
    <w:tmpl w:val="B35A2DD2"/>
    <w:lvl w:ilvl="0" w:tplc="E7B6ED14">
      <w:start w:val="3"/>
      <w:numFmt w:val="bullet"/>
      <w:lvlText w:val="-"/>
      <w:lvlJc w:val="left"/>
      <w:pPr>
        <w:ind w:left="1080" w:hanging="360"/>
      </w:pPr>
      <w:rPr>
        <w:rFonts w:ascii="Calibri" w:eastAsia="Calibri" w:hAnsi="Calibri" w:cs="Calibri" w:hint="default"/>
        <w:color w:val="00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B0D6D72"/>
    <w:multiLevelType w:val="hybridMultilevel"/>
    <w:tmpl w:val="DD38280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nsid w:val="1E391F54"/>
    <w:multiLevelType w:val="hybridMultilevel"/>
    <w:tmpl w:val="24A055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671B73"/>
    <w:multiLevelType w:val="hybridMultilevel"/>
    <w:tmpl w:val="55DEA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EDD4B57"/>
    <w:multiLevelType w:val="hybridMultilevel"/>
    <w:tmpl w:val="C51EA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F2E5978"/>
    <w:multiLevelType w:val="hybridMultilevel"/>
    <w:tmpl w:val="49EEC246"/>
    <w:lvl w:ilvl="0" w:tplc="04090019">
      <w:start w:val="1"/>
      <w:numFmt w:val="lowerLetter"/>
      <w:lvlText w:val="%1."/>
      <w:lvlJc w:val="left"/>
      <w:pPr>
        <w:ind w:left="450" w:hanging="360"/>
      </w:pPr>
    </w:lvl>
    <w:lvl w:ilvl="1" w:tplc="04090019">
      <w:start w:val="1"/>
      <w:numFmt w:val="decimal"/>
      <w:lvlText w:val="%2."/>
      <w:lvlJc w:val="left"/>
      <w:pPr>
        <w:tabs>
          <w:tab w:val="num" w:pos="-270"/>
        </w:tabs>
        <w:ind w:left="-270" w:hanging="360"/>
      </w:pPr>
    </w:lvl>
    <w:lvl w:ilvl="2" w:tplc="0409001B">
      <w:start w:val="1"/>
      <w:numFmt w:val="decimal"/>
      <w:lvlText w:val="%3."/>
      <w:lvlJc w:val="left"/>
      <w:pPr>
        <w:tabs>
          <w:tab w:val="num" w:pos="450"/>
        </w:tabs>
        <w:ind w:left="450" w:hanging="360"/>
      </w:pPr>
    </w:lvl>
    <w:lvl w:ilvl="3" w:tplc="0409000F">
      <w:start w:val="1"/>
      <w:numFmt w:val="decimal"/>
      <w:lvlText w:val="%4."/>
      <w:lvlJc w:val="left"/>
      <w:pPr>
        <w:tabs>
          <w:tab w:val="num" w:pos="1170"/>
        </w:tabs>
        <w:ind w:left="1170" w:hanging="360"/>
      </w:pPr>
    </w:lvl>
    <w:lvl w:ilvl="4" w:tplc="04090019">
      <w:start w:val="1"/>
      <w:numFmt w:val="decimal"/>
      <w:lvlText w:val="%5."/>
      <w:lvlJc w:val="left"/>
      <w:pPr>
        <w:tabs>
          <w:tab w:val="num" w:pos="1890"/>
        </w:tabs>
        <w:ind w:left="1890" w:hanging="360"/>
      </w:pPr>
    </w:lvl>
    <w:lvl w:ilvl="5" w:tplc="0409001B">
      <w:start w:val="1"/>
      <w:numFmt w:val="decimal"/>
      <w:lvlText w:val="%6."/>
      <w:lvlJc w:val="left"/>
      <w:pPr>
        <w:tabs>
          <w:tab w:val="num" w:pos="2610"/>
        </w:tabs>
        <w:ind w:left="2610" w:hanging="360"/>
      </w:pPr>
    </w:lvl>
    <w:lvl w:ilvl="6" w:tplc="0409000F">
      <w:start w:val="1"/>
      <w:numFmt w:val="decimal"/>
      <w:lvlText w:val="%7."/>
      <w:lvlJc w:val="left"/>
      <w:pPr>
        <w:tabs>
          <w:tab w:val="num" w:pos="3330"/>
        </w:tabs>
        <w:ind w:left="3330" w:hanging="360"/>
      </w:pPr>
    </w:lvl>
    <w:lvl w:ilvl="7" w:tplc="04090019">
      <w:start w:val="1"/>
      <w:numFmt w:val="decimal"/>
      <w:lvlText w:val="%8."/>
      <w:lvlJc w:val="left"/>
      <w:pPr>
        <w:tabs>
          <w:tab w:val="num" w:pos="4050"/>
        </w:tabs>
        <w:ind w:left="4050" w:hanging="360"/>
      </w:pPr>
    </w:lvl>
    <w:lvl w:ilvl="8" w:tplc="0409001B">
      <w:start w:val="1"/>
      <w:numFmt w:val="decimal"/>
      <w:lvlText w:val="%9."/>
      <w:lvlJc w:val="left"/>
      <w:pPr>
        <w:tabs>
          <w:tab w:val="num" w:pos="4770"/>
        </w:tabs>
        <w:ind w:left="4770" w:hanging="360"/>
      </w:pPr>
    </w:lvl>
  </w:abstractNum>
  <w:abstractNum w:abstractNumId="18">
    <w:nsid w:val="1FFE7E90"/>
    <w:multiLevelType w:val="multilevel"/>
    <w:tmpl w:val="3CDE8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5BF5BA8"/>
    <w:multiLevelType w:val="hybridMultilevel"/>
    <w:tmpl w:val="0A30381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nsid w:val="29990CB4"/>
    <w:multiLevelType w:val="hybridMultilevel"/>
    <w:tmpl w:val="55DEABC6"/>
    <w:lvl w:ilvl="0" w:tplc="04090019">
      <w:start w:val="1"/>
      <w:numFmt w:val="lowerLetter"/>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21">
    <w:nsid w:val="29B4257B"/>
    <w:multiLevelType w:val="hybridMultilevel"/>
    <w:tmpl w:val="B792F554"/>
    <w:lvl w:ilvl="0" w:tplc="9D14838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2A134B50"/>
    <w:multiLevelType w:val="hybridMultilevel"/>
    <w:tmpl w:val="1414843C"/>
    <w:lvl w:ilvl="0" w:tplc="04090019">
      <w:start w:val="1"/>
      <w:numFmt w:val="low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D5130D5"/>
    <w:multiLevelType w:val="hybridMultilevel"/>
    <w:tmpl w:val="49EEC246"/>
    <w:lvl w:ilvl="0" w:tplc="04090019">
      <w:start w:val="1"/>
      <w:numFmt w:val="lowerLetter"/>
      <w:lvlText w:val="%1."/>
      <w:lvlJc w:val="left"/>
      <w:pPr>
        <w:ind w:left="21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nsid w:val="2DD154C1"/>
    <w:multiLevelType w:val="hybridMultilevel"/>
    <w:tmpl w:val="75D274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E0D74D7"/>
    <w:multiLevelType w:val="multilevel"/>
    <w:tmpl w:val="15EC738E"/>
    <w:lvl w:ilvl="0">
      <w:start w:val="1"/>
      <w:numFmt w:val="decimal"/>
      <w:pStyle w:val="Heading1"/>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val="0"/>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2F516CC4"/>
    <w:multiLevelType w:val="hybridMultilevel"/>
    <w:tmpl w:val="E60C0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2D54772"/>
    <w:multiLevelType w:val="hybridMultilevel"/>
    <w:tmpl w:val="4CF8180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9">
    <w:nsid w:val="36F63D40"/>
    <w:multiLevelType w:val="hybridMultilevel"/>
    <w:tmpl w:val="143C9F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CD567F8"/>
    <w:multiLevelType w:val="hybridMultilevel"/>
    <w:tmpl w:val="73CCF8E2"/>
    <w:lvl w:ilvl="0" w:tplc="2CA62218">
      <w:start w:val="1"/>
      <w:numFmt w:val="lowerLetter"/>
      <w:lvlText w:val="%1."/>
      <w:lvlJc w:val="left"/>
      <w:pPr>
        <w:ind w:left="405" w:hanging="360"/>
      </w:pPr>
      <w:rPr>
        <w:rFonts w:hint="default"/>
        <w:color w:val="00000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1">
    <w:nsid w:val="3E9E6E95"/>
    <w:multiLevelType w:val="hybridMultilevel"/>
    <w:tmpl w:val="3D0EC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13340F"/>
    <w:multiLevelType w:val="hybridMultilevel"/>
    <w:tmpl w:val="84841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A304F7D"/>
    <w:multiLevelType w:val="hybridMultilevel"/>
    <w:tmpl w:val="C98CB784"/>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542E33FB"/>
    <w:multiLevelType w:val="hybridMultilevel"/>
    <w:tmpl w:val="9F8417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763D09"/>
    <w:multiLevelType w:val="hybridMultilevel"/>
    <w:tmpl w:val="7FD2F7C0"/>
    <w:lvl w:ilvl="0" w:tplc="04090019">
      <w:start w:val="1"/>
      <w:numFmt w:val="lowerLetter"/>
      <w:lvlText w:val="%1."/>
      <w:lvlJc w:val="left"/>
      <w:pPr>
        <w:ind w:left="2160" w:hanging="720"/>
      </w:pPr>
      <w:rPr>
        <w:rFonts w:hint="default"/>
      </w:rPr>
    </w:lvl>
    <w:lvl w:ilvl="1" w:tplc="72325608">
      <w:start w:val="1"/>
      <w:numFmt w:val="lowerLetter"/>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nsid w:val="5DE73B6F"/>
    <w:multiLevelType w:val="hybridMultilevel"/>
    <w:tmpl w:val="9092A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EC3345F"/>
    <w:multiLevelType w:val="hybridMultilevel"/>
    <w:tmpl w:val="D02EECA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5F191E42"/>
    <w:multiLevelType w:val="hybridMultilevel"/>
    <w:tmpl w:val="B78E4DAE"/>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D6780A"/>
    <w:multiLevelType w:val="hybridMultilevel"/>
    <w:tmpl w:val="0CCC6686"/>
    <w:lvl w:ilvl="0" w:tplc="67C4303A">
      <w:start w:val="1"/>
      <w:numFmt w:val="decimal"/>
      <w:lvlText w:val="%1."/>
      <w:lvlJc w:val="left"/>
      <w:pPr>
        <w:ind w:left="720" w:hanging="720"/>
      </w:pPr>
      <w:rPr>
        <w:rFonts w:hint="default"/>
      </w:rPr>
    </w:lvl>
    <w:lvl w:ilvl="1" w:tplc="72325608">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5C506B5"/>
    <w:multiLevelType w:val="hybridMultilevel"/>
    <w:tmpl w:val="49EEC246"/>
    <w:lvl w:ilvl="0" w:tplc="04090019">
      <w:start w:val="1"/>
      <w:numFmt w:val="lowerLetter"/>
      <w:lvlText w:val="%1."/>
      <w:lvlJc w:val="left"/>
      <w:pPr>
        <w:ind w:left="450" w:hanging="360"/>
      </w:pPr>
    </w:lvl>
    <w:lvl w:ilvl="1" w:tplc="04090019">
      <w:start w:val="1"/>
      <w:numFmt w:val="decimal"/>
      <w:lvlText w:val="%2."/>
      <w:lvlJc w:val="left"/>
      <w:pPr>
        <w:tabs>
          <w:tab w:val="num" w:pos="-270"/>
        </w:tabs>
        <w:ind w:left="-270" w:hanging="360"/>
      </w:pPr>
    </w:lvl>
    <w:lvl w:ilvl="2" w:tplc="0409001B">
      <w:start w:val="1"/>
      <w:numFmt w:val="decimal"/>
      <w:lvlText w:val="%3."/>
      <w:lvlJc w:val="left"/>
      <w:pPr>
        <w:tabs>
          <w:tab w:val="num" w:pos="450"/>
        </w:tabs>
        <w:ind w:left="450" w:hanging="360"/>
      </w:pPr>
    </w:lvl>
    <w:lvl w:ilvl="3" w:tplc="0409000F">
      <w:start w:val="1"/>
      <w:numFmt w:val="decimal"/>
      <w:lvlText w:val="%4."/>
      <w:lvlJc w:val="left"/>
      <w:pPr>
        <w:tabs>
          <w:tab w:val="num" w:pos="1170"/>
        </w:tabs>
        <w:ind w:left="1170" w:hanging="360"/>
      </w:pPr>
    </w:lvl>
    <w:lvl w:ilvl="4" w:tplc="04090019">
      <w:start w:val="1"/>
      <w:numFmt w:val="decimal"/>
      <w:lvlText w:val="%5."/>
      <w:lvlJc w:val="left"/>
      <w:pPr>
        <w:tabs>
          <w:tab w:val="num" w:pos="1890"/>
        </w:tabs>
        <w:ind w:left="1890" w:hanging="360"/>
      </w:pPr>
    </w:lvl>
    <w:lvl w:ilvl="5" w:tplc="0409001B">
      <w:start w:val="1"/>
      <w:numFmt w:val="decimal"/>
      <w:lvlText w:val="%6."/>
      <w:lvlJc w:val="left"/>
      <w:pPr>
        <w:tabs>
          <w:tab w:val="num" w:pos="2610"/>
        </w:tabs>
        <w:ind w:left="2610" w:hanging="360"/>
      </w:pPr>
    </w:lvl>
    <w:lvl w:ilvl="6" w:tplc="0409000F">
      <w:start w:val="1"/>
      <w:numFmt w:val="decimal"/>
      <w:lvlText w:val="%7."/>
      <w:lvlJc w:val="left"/>
      <w:pPr>
        <w:tabs>
          <w:tab w:val="num" w:pos="3330"/>
        </w:tabs>
        <w:ind w:left="3330" w:hanging="360"/>
      </w:pPr>
    </w:lvl>
    <w:lvl w:ilvl="7" w:tplc="04090019">
      <w:start w:val="1"/>
      <w:numFmt w:val="decimal"/>
      <w:lvlText w:val="%8."/>
      <w:lvlJc w:val="left"/>
      <w:pPr>
        <w:tabs>
          <w:tab w:val="num" w:pos="4050"/>
        </w:tabs>
        <w:ind w:left="4050" w:hanging="360"/>
      </w:pPr>
    </w:lvl>
    <w:lvl w:ilvl="8" w:tplc="0409001B">
      <w:start w:val="1"/>
      <w:numFmt w:val="decimal"/>
      <w:lvlText w:val="%9."/>
      <w:lvlJc w:val="left"/>
      <w:pPr>
        <w:tabs>
          <w:tab w:val="num" w:pos="4770"/>
        </w:tabs>
        <w:ind w:left="4770" w:hanging="360"/>
      </w:pPr>
    </w:lvl>
  </w:abstractNum>
  <w:abstractNum w:abstractNumId="41">
    <w:nsid w:val="6FCE03F7"/>
    <w:multiLevelType w:val="hybridMultilevel"/>
    <w:tmpl w:val="C610DCB8"/>
    <w:lvl w:ilvl="0" w:tplc="5D120268">
      <w:start w:val="1"/>
      <w:numFmt w:val="lowerLetter"/>
      <w:lvlText w:val="%1."/>
      <w:lvlJc w:val="left"/>
      <w:pPr>
        <w:ind w:left="720" w:hanging="360"/>
      </w:pPr>
      <w:rPr>
        <w:rFonts w:eastAsia="Calibri"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0E97007"/>
    <w:multiLevelType w:val="hybridMultilevel"/>
    <w:tmpl w:val="B78E4DAE"/>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8B33F70"/>
    <w:multiLevelType w:val="hybridMultilevel"/>
    <w:tmpl w:val="CFCEC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6F50D0"/>
    <w:multiLevelType w:val="hybridMultilevel"/>
    <w:tmpl w:val="A686F8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CEB09D9"/>
    <w:multiLevelType w:val="hybridMultilevel"/>
    <w:tmpl w:val="F0F21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D341975"/>
    <w:multiLevelType w:val="hybridMultilevel"/>
    <w:tmpl w:val="55DEA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F5B1446"/>
    <w:multiLevelType w:val="hybridMultilevel"/>
    <w:tmpl w:val="7B98DFF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num w:numId="1">
    <w:abstractNumId w:val="5"/>
  </w:num>
  <w:num w:numId="2">
    <w:abstractNumId w:val="9"/>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num>
  <w:num w:numId="5">
    <w:abstractNumId w:val="39"/>
  </w:num>
  <w:num w:numId="6">
    <w:abstractNumId w:val="35"/>
  </w:num>
  <w:num w:numId="7">
    <w:abstractNumId w:val="37"/>
  </w:num>
  <w:num w:numId="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19"/>
  </w:num>
  <w:num w:numId="13">
    <w:abstractNumId w:val="13"/>
  </w:num>
  <w:num w:numId="14">
    <w:abstractNumId w:val="28"/>
  </w:num>
  <w:num w:numId="15">
    <w:abstractNumId w:val="43"/>
  </w:num>
  <w:num w:numId="16">
    <w:abstractNumId w:val="14"/>
  </w:num>
  <w:num w:numId="17">
    <w:abstractNumId w:val="2"/>
  </w:num>
  <w:num w:numId="18">
    <w:abstractNumId w:val="8"/>
  </w:num>
  <w:num w:numId="19">
    <w:abstractNumId w:val="36"/>
  </w:num>
  <w:num w:numId="20">
    <w:abstractNumId w:val="32"/>
  </w:num>
  <w:num w:numId="21">
    <w:abstractNumId w:val="4"/>
  </w:num>
  <w:num w:numId="22">
    <w:abstractNumId w:val="0"/>
  </w:num>
  <w:num w:numId="23">
    <w:abstractNumId w:val="15"/>
  </w:num>
  <w:num w:numId="24">
    <w:abstractNumId w:val="34"/>
  </w:num>
  <w:num w:numId="25">
    <w:abstractNumId w:val="27"/>
  </w:num>
  <w:num w:numId="26">
    <w:abstractNumId w:val="7"/>
  </w:num>
  <w:num w:numId="27">
    <w:abstractNumId w:val="41"/>
  </w:num>
  <w:num w:numId="28">
    <w:abstractNumId w:val="30"/>
  </w:num>
  <w:num w:numId="29">
    <w:abstractNumId w:val="18"/>
  </w:num>
  <w:num w:numId="30">
    <w:abstractNumId w:val="47"/>
  </w:num>
  <w:num w:numId="31">
    <w:abstractNumId w:val="26"/>
  </w:num>
  <w:num w:numId="32">
    <w:abstractNumId w:val="1"/>
  </w:num>
  <w:num w:numId="33">
    <w:abstractNumId w:val="31"/>
  </w:num>
  <w:num w:numId="34">
    <w:abstractNumId w:val="16"/>
  </w:num>
  <w:num w:numId="35">
    <w:abstractNumId w:val="10"/>
  </w:num>
  <w:num w:numId="36">
    <w:abstractNumId w:val="11"/>
  </w:num>
  <w:num w:numId="37">
    <w:abstractNumId w:val="21"/>
  </w:num>
  <w:num w:numId="38">
    <w:abstractNumId w:val="44"/>
  </w:num>
  <w:num w:numId="39">
    <w:abstractNumId w:val="3"/>
  </w:num>
  <w:num w:numId="40">
    <w:abstractNumId w:val="45"/>
  </w:num>
  <w:num w:numId="41">
    <w:abstractNumId w:val="17"/>
  </w:num>
  <w:num w:numId="42">
    <w:abstractNumId w:val="38"/>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2"/>
  </w:num>
  <w:num w:numId="45">
    <w:abstractNumId w:val="6"/>
  </w:num>
  <w:num w:numId="46">
    <w:abstractNumId w:val="40"/>
  </w:num>
  <w:num w:numId="47">
    <w:abstractNumId w:val="46"/>
  </w:num>
  <w:num w:numId="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defaultTabStop w:val="720"/>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rsids>
    <w:rsidRoot w:val="00DB57B2"/>
    <w:rsid w:val="00001776"/>
    <w:rsid w:val="00003895"/>
    <w:rsid w:val="000054F1"/>
    <w:rsid w:val="0001519B"/>
    <w:rsid w:val="0001709C"/>
    <w:rsid w:val="00020871"/>
    <w:rsid w:val="00020F79"/>
    <w:rsid w:val="00023171"/>
    <w:rsid w:val="000235FC"/>
    <w:rsid w:val="000243B5"/>
    <w:rsid w:val="00027AD0"/>
    <w:rsid w:val="00033002"/>
    <w:rsid w:val="000343B4"/>
    <w:rsid w:val="0003719F"/>
    <w:rsid w:val="00037510"/>
    <w:rsid w:val="00037D8E"/>
    <w:rsid w:val="000429C9"/>
    <w:rsid w:val="00043EBB"/>
    <w:rsid w:val="00046AB2"/>
    <w:rsid w:val="0005064B"/>
    <w:rsid w:val="000522A4"/>
    <w:rsid w:val="00053839"/>
    <w:rsid w:val="000556B2"/>
    <w:rsid w:val="000557AE"/>
    <w:rsid w:val="00055D51"/>
    <w:rsid w:val="00057225"/>
    <w:rsid w:val="000616FA"/>
    <w:rsid w:val="00063E09"/>
    <w:rsid w:val="0007152F"/>
    <w:rsid w:val="00072F49"/>
    <w:rsid w:val="0007433C"/>
    <w:rsid w:val="0007579A"/>
    <w:rsid w:val="000815DF"/>
    <w:rsid w:val="00083C2F"/>
    <w:rsid w:val="000868E7"/>
    <w:rsid w:val="00090CF7"/>
    <w:rsid w:val="00090EA8"/>
    <w:rsid w:val="00090F7E"/>
    <w:rsid w:val="00091E85"/>
    <w:rsid w:val="00093936"/>
    <w:rsid w:val="000957F8"/>
    <w:rsid w:val="00096076"/>
    <w:rsid w:val="00096543"/>
    <w:rsid w:val="000A7D4A"/>
    <w:rsid w:val="000B0DF8"/>
    <w:rsid w:val="000B1691"/>
    <w:rsid w:val="000B76A6"/>
    <w:rsid w:val="000B7E3D"/>
    <w:rsid w:val="000C055D"/>
    <w:rsid w:val="000C1A5B"/>
    <w:rsid w:val="000C2075"/>
    <w:rsid w:val="000C2D97"/>
    <w:rsid w:val="000C4422"/>
    <w:rsid w:val="000C6296"/>
    <w:rsid w:val="000D036B"/>
    <w:rsid w:val="000D1FBE"/>
    <w:rsid w:val="000D35FA"/>
    <w:rsid w:val="000D3E74"/>
    <w:rsid w:val="000D6582"/>
    <w:rsid w:val="000E02FC"/>
    <w:rsid w:val="000E119B"/>
    <w:rsid w:val="000E2D26"/>
    <w:rsid w:val="000E3999"/>
    <w:rsid w:val="000E3CAF"/>
    <w:rsid w:val="000E4881"/>
    <w:rsid w:val="000E76C7"/>
    <w:rsid w:val="000F1E09"/>
    <w:rsid w:val="000F21F5"/>
    <w:rsid w:val="000F3E18"/>
    <w:rsid w:val="000F5626"/>
    <w:rsid w:val="000F7431"/>
    <w:rsid w:val="000F7948"/>
    <w:rsid w:val="0010097B"/>
    <w:rsid w:val="0010271E"/>
    <w:rsid w:val="00104245"/>
    <w:rsid w:val="00104F40"/>
    <w:rsid w:val="00106104"/>
    <w:rsid w:val="00106B89"/>
    <w:rsid w:val="00106CC9"/>
    <w:rsid w:val="00106D9F"/>
    <w:rsid w:val="00110215"/>
    <w:rsid w:val="00111B44"/>
    <w:rsid w:val="00112E12"/>
    <w:rsid w:val="0011452F"/>
    <w:rsid w:val="0011507F"/>
    <w:rsid w:val="001154BD"/>
    <w:rsid w:val="00116B42"/>
    <w:rsid w:val="00117725"/>
    <w:rsid w:val="00120469"/>
    <w:rsid w:val="00123FD0"/>
    <w:rsid w:val="00125CD4"/>
    <w:rsid w:val="00125D54"/>
    <w:rsid w:val="001263C8"/>
    <w:rsid w:val="0012694B"/>
    <w:rsid w:val="00127677"/>
    <w:rsid w:val="0013178C"/>
    <w:rsid w:val="00133769"/>
    <w:rsid w:val="0013511A"/>
    <w:rsid w:val="00137C78"/>
    <w:rsid w:val="00140D82"/>
    <w:rsid w:val="00140EFF"/>
    <w:rsid w:val="00142086"/>
    <w:rsid w:val="0015020A"/>
    <w:rsid w:val="00150234"/>
    <w:rsid w:val="00152031"/>
    <w:rsid w:val="00153844"/>
    <w:rsid w:val="00154745"/>
    <w:rsid w:val="00154760"/>
    <w:rsid w:val="00160D0D"/>
    <w:rsid w:val="001647AC"/>
    <w:rsid w:val="001648F5"/>
    <w:rsid w:val="00170EC1"/>
    <w:rsid w:val="00174272"/>
    <w:rsid w:val="001750FC"/>
    <w:rsid w:val="001758E3"/>
    <w:rsid w:val="00180471"/>
    <w:rsid w:val="00181B0C"/>
    <w:rsid w:val="00182FE3"/>
    <w:rsid w:val="001840BC"/>
    <w:rsid w:val="001847CC"/>
    <w:rsid w:val="001858D3"/>
    <w:rsid w:val="001910BE"/>
    <w:rsid w:val="00191297"/>
    <w:rsid w:val="00194C64"/>
    <w:rsid w:val="001976E7"/>
    <w:rsid w:val="00197F58"/>
    <w:rsid w:val="001A0DFF"/>
    <w:rsid w:val="001A0F53"/>
    <w:rsid w:val="001A5115"/>
    <w:rsid w:val="001A5B29"/>
    <w:rsid w:val="001B0C53"/>
    <w:rsid w:val="001B28D1"/>
    <w:rsid w:val="001B3F15"/>
    <w:rsid w:val="001C0D5B"/>
    <w:rsid w:val="001C1349"/>
    <w:rsid w:val="001C22AE"/>
    <w:rsid w:val="001C2B15"/>
    <w:rsid w:val="001C3C36"/>
    <w:rsid w:val="001C58E7"/>
    <w:rsid w:val="001C600C"/>
    <w:rsid w:val="001D018E"/>
    <w:rsid w:val="001D4707"/>
    <w:rsid w:val="001D712F"/>
    <w:rsid w:val="001E0ACE"/>
    <w:rsid w:val="001E1043"/>
    <w:rsid w:val="001E4F7A"/>
    <w:rsid w:val="001E708D"/>
    <w:rsid w:val="001E7C13"/>
    <w:rsid w:val="001F0180"/>
    <w:rsid w:val="001F1532"/>
    <w:rsid w:val="001F203E"/>
    <w:rsid w:val="001F24EA"/>
    <w:rsid w:val="001F499F"/>
    <w:rsid w:val="001F6450"/>
    <w:rsid w:val="001F7039"/>
    <w:rsid w:val="002054B2"/>
    <w:rsid w:val="00206627"/>
    <w:rsid w:val="00206BEA"/>
    <w:rsid w:val="00207F79"/>
    <w:rsid w:val="00210BA3"/>
    <w:rsid w:val="0021220F"/>
    <w:rsid w:val="00216814"/>
    <w:rsid w:val="00221EFF"/>
    <w:rsid w:val="00223A78"/>
    <w:rsid w:val="00227753"/>
    <w:rsid w:val="00227835"/>
    <w:rsid w:val="00230883"/>
    <w:rsid w:val="002336A5"/>
    <w:rsid w:val="00234D05"/>
    <w:rsid w:val="00236BBA"/>
    <w:rsid w:val="0024162B"/>
    <w:rsid w:val="0024534B"/>
    <w:rsid w:val="0024635B"/>
    <w:rsid w:val="00246584"/>
    <w:rsid w:val="00251192"/>
    <w:rsid w:val="00253291"/>
    <w:rsid w:val="0025756B"/>
    <w:rsid w:val="0025766C"/>
    <w:rsid w:val="0025776E"/>
    <w:rsid w:val="00257E72"/>
    <w:rsid w:val="00260DF7"/>
    <w:rsid w:val="002622AD"/>
    <w:rsid w:val="0026369C"/>
    <w:rsid w:val="002642A6"/>
    <w:rsid w:val="00264EFA"/>
    <w:rsid w:val="00265DC5"/>
    <w:rsid w:val="00266EAF"/>
    <w:rsid w:val="0026771D"/>
    <w:rsid w:val="00273C6E"/>
    <w:rsid w:val="0027710E"/>
    <w:rsid w:val="00283742"/>
    <w:rsid w:val="00284AB7"/>
    <w:rsid w:val="00287834"/>
    <w:rsid w:val="00287899"/>
    <w:rsid w:val="00293A5E"/>
    <w:rsid w:val="002958B9"/>
    <w:rsid w:val="002A0DF2"/>
    <w:rsid w:val="002A0E77"/>
    <w:rsid w:val="002A3FA6"/>
    <w:rsid w:val="002A491B"/>
    <w:rsid w:val="002A4A0D"/>
    <w:rsid w:val="002A6D92"/>
    <w:rsid w:val="002B0D19"/>
    <w:rsid w:val="002B1B14"/>
    <w:rsid w:val="002B1F76"/>
    <w:rsid w:val="002B22A8"/>
    <w:rsid w:val="002C0C77"/>
    <w:rsid w:val="002C3874"/>
    <w:rsid w:val="002C636A"/>
    <w:rsid w:val="002D063F"/>
    <w:rsid w:val="002D2774"/>
    <w:rsid w:val="002D28D3"/>
    <w:rsid w:val="002D47D9"/>
    <w:rsid w:val="002D6665"/>
    <w:rsid w:val="002E210B"/>
    <w:rsid w:val="002E2913"/>
    <w:rsid w:val="002E2FF6"/>
    <w:rsid w:val="002E71B0"/>
    <w:rsid w:val="002F0003"/>
    <w:rsid w:val="002F230B"/>
    <w:rsid w:val="002F2856"/>
    <w:rsid w:val="002F4F9E"/>
    <w:rsid w:val="0030096F"/>
    <w:rsid w:val="003017CD"/>
    <w:rsid w:val="00302FBA"/>
    <w:rsid w:val="00304600"/>
    <w:rsid w:val="0030519F"/>
    <w:rsid w:val="00313CF4"/>
    <w:rsid w:val="003175D8"/>
    <w:rsid w:val="00317D9B"/>
    <w:rsid w:val="0032011B"/>
    <w:rsid w:val="00322313"/>
    <w:rsid w:val="003228F9"/>
    <w:rsid w:val="003245B2"/>
    <w:rsid w:val="00326EE6"/>
    <w:rsid w:val="0033065D"/>
    <w:rsid w:val="003323F7"/>
    <w:rsid w:val="003336FE"/>
    <w:rsid w:val="0033537D"/>
    <w:rsid w:val="00337F81"/>
    <w:rsid w:val="00345C53"/>
    <w:rsid w:val="00352FE9"/>
    <w:rsid w:val="003544E4"/>
    <w:rsid w:val="00356166"/>
    <w:rsid w:val="003603B4"/>
    <w:rsid w:val="00362A65"/>
    <w:rsid w:val="0036345D"/>
    <w:rsid w:val="00363EF2"/>
    <w:rsid w:val="00365684"/>
    <w:rsid w:val="00365D80"/>
    <w:rsid w:val="00370913"/>
    <w:rsid w:val="00370982"/>
    <w:rsid w:val="00375643"/>
    <w:rsid w:val="003759F3"/>
    <w:rsid w:val="00376055"/>
    <w:rsid w:val="00380844"/>
    <w:rsid w:val="00382F93"/>
    <w:rsid w:val="00384864"/>
    <w:rsid w:val="00384D6F"/>
    <w:rsid w:val="003877C8"/>
    <w:rsid w:val="00390C61"/>
    <w:rsid w:val="00391C31"/>
    <w:rsid w:val="003A06D2"/>
    <w:rsid w:val="003A2661"/>
    <w:rsid w:val="003A27CF"/>
    <w:rsid w:val="003A3EBC"/>
    <w:rsid w:val="003B11F4"/>
    <w:rsid w:val="003B473D"/>
    <w:rsid w:val="003B6D22"/>
    <w:rsid w:val="003B6F00"/>
    <w:rsid w:val="003C1540"/>
    <w:rsid w:val="003C2C9C"/>
    <w:rsid w:val="003C485E"/>
    <w:rsid w:val="003C554D"/>
    <w:rsid w:val="003C685C"/>
    <w:rsid w:val="003C7577"/>
    <w:rsid w:val="003C7F57"/>
    <w:rsid w:val="003D164A"/>
    <w:rsid w:val="003D1C86"/>
    <w:rsid w:val="003D4DFC"/>
    <w:rsid w:val="003D6D0C"/>
    <w:rsid w:val="003D76B2"/>
    <w:rsid w:val="003E0E7B"/>
    <w:rsid w:val="003E195B"/>
    <w:rsid w:val="003E4381"/>
    <w:rsid w:val="003E5707"/>
    <w:rsid w:val="003E5B61"/>
    <w:rsid w:val="003E70C4"/>
    <w:rsid w:val="003F0AE1"/>
    <w:rsid w:val="003F0F1F"/>
    <w:rsid w:val="003F3080"/>
    <w:rsid w:val="00402747"/>
    <w:rsid w:val="004057A3"/>
    <w:rsid w:val="0041050D"/>
    <w:rsid w:val="00411578"/>
    <w:rsid w:val="00411988"/>
    <w:rsid w:val="004129A2"/>
    <w:rsid w:val="00413ED1"/>
    <w:rsid w:val="0041557C"/>
    <w:rsid w:val="00415B2D"/>
    <w:rsid w:val="00416B6B"/>
    <w:rsid w:val="00416BCF"/>
    <w:rsid w:val="004176C5"/>
    <w:rsid w:val="0042057E"/>
    <w:rsid w:val="004208AC"/>
    <w:rsid w:val="004229EA"/>
    <w:rsid w:val="004233F6"/>
    <w:rsid w:val="00430E97"/>
    <w:rsid w:val="00435F6C"/>
    <w:rsid w:val="0043777C"/>
    <w:rsid w:val="00437F3F"/>
    <w:rsid w:val="00440359"/>
    <w:rsid w:val="004445CD"/>
    <w:rsid w:val="00445A2A"/>
    <w:rsid w:val="00446917"/>
    <w:rsid w:val="004478AC"/>
    <w:rsid w:val="004529A2"/>
    <w:rsid w:val="00457D6F"/>
    <w:rsid w:val="00460BC7"/>
    <w:rsid w:val="00462BC2"/>
    <w:rsid w:val="0046316F"/>
    <w:rsid w:val="0046342B"/>
    <w:rsid w:val="004666D8"/>
    <w:rsid w:val="00466789"/>
    <w:rsid w:val="00470E76"/>
    <w:rsid w:val="0047574F"/>
    <w:rsid w:val="00476407"/>
    <w:rsid w:val="0047757C"/>
    <w:rsid w:val="00477BF3"/>
    <w:rsid w:val="004863AE"/>
    <w:rsid w:val="00490C69"/>
    <w:rsid w:val="0049174B"/>
    <w:rsid w:val="00491B39"/>
    <w:rsid w:val="00493DF9"/>
    <w:rsid w:val="0049611D"/>
    <w:rsid w:val="0049619C"/>
    <w:rsid w:val="00497A1B"/>
    <w:rsid w:val="004A2A19"/>
    <w:rsid w:val="004A6318"/>
    <w:rsid w:val="004B12E5"/>
    <w:rsid w:val="004B14D6"/>
    <w:rsid w:val="004B2ED5"/>
    <w:rsid w:val="004B5550"/>
    <w:rsid w:val="004B7530"/>
    <w:rsid w:val="004C74D2"/>
    <w:rsid w:val="004C781B"/>
    <w:rsid w:val="004D791D"/>
    <w:rsid w:val="004E1D35"/>
    <w:rsid w:val="004E2AC6"/>
    <w:rsid w:val="004E4BCA"/>
    <w:rsid w:val="004E5C16"/>
    <w:rsid w:val="004E74ED"/>
    <w:rsid w:val="004F2243"/>
    <w:rsid w:val="0050014E"/>
    <w:rsid w:val="0050266D"/>
    <w:rsid w:val="00503D1C"/>
    <w:rsid w:val="00505F7A"/>
    <w:rsid w:val="00510CF3"/>
    <w:rsid w:val="00511A74"/>
    <w:rsid w:val="005144F6"/>
    <w:rsid w:val="00515D92"/>
    <w:rsid w:val="00520547"/>
    <w:rsid w:val="00520782"/>
    <w:rsid w:val="00521792"/>
    <w:rsid w:val="00522FF9"/>
    <w:rsid w:val="00523CAB"/>
    <w:rsid w:val="00524414"/>
    <w:rsid w:val="00524B62"/>
    <w:rsid w:val="005250E8"/>
    <w:rsid w:val="00525BB1"/>
    <w:rsid w:val="005274AC"/>
    <w:rsid w:val="00542C44"/>
    <w:rsid w:val="005457D1"/>
    <w:rsid w:val="00546701"/>
    <w:rsid w:val="00552CDE"/>
    <w:rsid w:val="00554AE1"/>
    <w:rsid w:val="00554CF0"/>
    <w:rsid w:val="00557610"/>
    <w:rsid w:val="005579A8"/>
    <w:rsid w:val="005629F6"/>
    <w:rsid w:val="0056305F"/>
    <w:rsid w:val="00566334"/>
    <w:rsid w:val="00572B8B"/>
    <w:rsid w:val="005732C7"/>
    <w:rsid w:val="005864EE"/>
    <w:rsid w:val="005903CE"/>
    <w:rsid w:val="00590582"/>
    <w:rsid w:val="00593A24"/>
    <w:rsid w:val="00595EA2"/>
    <w:rsid w:val="00596776"/>
    <w:rsid w:val="00596FDF"/>
    <w:rsid w:val="005970A9"/>
    <w:rsid w:val="005A3F48"/>
    <w:rsid w:val="005A55EC"/>
    <w:rsid w:val="005B0AC0"/>
    <w:rsid w:val="005B163B"/>
    <w:rsid w:val="005B1E40"/>
    <w:rsid w:val="005B25AE"/>
    <w:rsid w:val="005B4C2D"/>
    <w:rsid w:val="005B63AD"/>
    <w:rsid w:val="005C447E"/>
    <w:rsid w:val="005C5FC8"/>
    <w:rsid w:val="005C666D"/>
    <w:rsid w:val="005C70B2"/>
    <w:rsid w:val="005C7AEB"/>
    <w:rsid w:val="005D03F9"/>
    <w:rsid w:val="005D0623"/>
    <w:rsid w:val="005D0A60"/>
    <w:rsid w:val="005D1A2C"/>
    <w:rsid w:val="005D2981"/>
    <w:rsid w:val="005D4D0C"/>
    <w:rsid w:val="005D529B"/>
    <w:rsid w:val="005D70B4"/>
    <w:rsid w:val="005D7BB0"/>
    <w:rsid w:val="005E0E98"/>
    <w:rsid w:val="005E1967"/>
    <w:rsid w:val="005E4484"/>
    <w:rsid w:val="005E5E6A"/>
    <w:rsid w:val="005E5FD2"/>
    <w:rsid w:val="005E7ACF"/>
    <w:rsid w:val="005F08A8"/>
    <w:rsid w:val="005F291E"/>
    <w:rsid w:val="005F2944"/>
    <w:rsid w:val="005F3F78"/>
    <w:rsid w:val="005F5DEF"/>
    <w:rsid w:val="005F7E0B"/>
    <w:rsid w:val="00602E58"/>
    <w:rsid w:val="0060348E"/>
    <w:rsid w:val="0060566A"/>
    <w:rsid w:val="00606C0B"/>
    <w:rsid w:val="006108B0"/>
    <w:rsid w:val="00610A25"/>
    <w:rsid w:val="0061163C"/>
    <w:rsid w:val="00611C6B"/>
    <w:rsid w:val="00614F00"/>
    <w:rsid w:val="006156F8"/>
    <w:rsid w:val="0061586F"/>
    <w:rsid w:val="00615E34"/>
    <w:rsid w:val="006173E5"/>
    <w:rsid w:val="006176E8"/>
    <w:rsid w:val="006270CC"/>
    <w:rsid w:val="00631157"/>
    <w:rsid w:val="0063269E"/>
    <w:rsid w:val="006341CA"/>
    <w:rsid w:val="00635963"/>
    <w:rsid w:val="006378E7"/>
    <w:rsid w:val="00642E85"/>
    <w:rsid w:val="00643E1A"/>
    <w:rsid w:val="00652AAF"/>
    <w:rsid w:val="006613CA"/>
    <w:rsid w:val="006615E4"/>
    <w:rsid w:val="00662E34"/>
    <w:rsid w:val="006658FD"/>
    <w:rsid w:val="00671275"/>
    <w:rsid w:val="00677E30"/>
    <w:rsid w:val="00680AC1"/>
    <w:rsid w:val="006842A3"/>
    <w:rsid w:val="00686C3C"/>
    <w:rsid w:val="00687AD1"/>
    <w:rsid w:val="00692979"/>
    <w:rsid w:val="00697052"/>
    <w:rsid w:val="006A1FC8"/>
    <w:rsid w:val="006A560D"/>
    <w:rsid w:val="006B0F25"/>
    <w:rsid w:val="006B2C5C"/>
    <w:rsid w:val="006B5BFE"/>
    <w:rsid w:val="006B5C10"/>
    <w:rsid w:val="006B5CF7"/>
    <w:rsid w:val="006B5EEA"/>
    <w:rsid w:val="006B70DE"/>
    <w:rsid w:val="006C1C11"/>
    <w:rsid w:val="006C5E16"/>
    <w:rsid w:val="006C60D0"/>
    <w:rsid w:val="006C6241"/>
    <w:rsid w:val="006C69ED"/>
    <w:rsid w:val="006C783F"/>
    <w:rsid w:val="006D1B4D"/>
    <w:rsid w:val="006D2C64"/>
    <w:rsid w:val="006D3EDD"/>
    <w:rsid w:val="006D5FB6"/>
    <w:rsid w:val="006D7102"/>
    <w:rsid w:val="006D73D6"/>
    <w:rsid w:val="006E1192"/>
    <w:rsid w:val="006E56EB"/>
    <w:rsid w:val="006E7681"/>
    <w:rsid w:val="006F2456"/>
    <w:rsid w:val="006F2471"/>
    <w:rsid w:val="006F3C91"/>
    <w:rsid w:val="006F5BFE"/>
    <w:rsid w:val="006F5F00"/>
    <w:rsid w:val="006F68C5"/>
    <w:rsid w:val="006F6DFF"/>
    <w:rsid w:val="00701124"/>
    <w:rsid w:val="00702DD9"/>
    <w:rsid w:val="0070369A"/>
    <w:rsid w:val="00703CC6"/>
    <w:rsid w:val="0070471D"/>
    <w:rsid w:val="007057DF"/>
    <w:rsid w:val="00713BB6"/>
    <w:rsid w:val="007156D9"/>
    <w:rsid w:val="00720612"/>
    <w:rsid w:val="007217F4"/>
    <w:rsid w:val="007219E9"/>
    <w:rsid w:val="007223E0"/>
    <w:rsid w:val="00723A82"/>
    <w:rsid w:val="007246CC"/>
    <w:rsid w:val="007271BA"/>
    <w:rsid w:val="00727F87"/>
    <w:rsid w:val="00731498"/>
    <w:rsid w:val="00732D2E"/>
    <w:rsid w:val="007331A0"/>
    <w:rsid w:val="00733A9C"/>
    <w:rsid w:val="0073656F"/>
    <w:rsid w:val="00736B0D"/>
    <w:rsid w:val="00737F23"/>
    <w:rsid w:val="0074165A"/>
    <w:rsid w:val="007430B3"/>
    <w:rsid w:val="00743835"/>
    <w:rsid w:val="007515FA"/>
    <w:rsid w:val="007544A4"/>
    <w:rsid w:val="007562DF"/>
    <w:rsid w:val="0075727D"/>
    <w:rsid w:val="00762C24"/>
    <w:rsid w:val="007658FB"/>
    <w:rsid w:val="007659A9"/>
    <w:rsid w:val="00765DC2"/>
    <w:rsid w:val="00766D29"/>
    <w:rsid w:val="007703D4"/>
    <w:rsid w:val="00772EAD"/>
    <w:rsid w:val="00773A83"/>
    <w:rsid w:val="00776628"/>
    <w:rsid w:val="00776B73"/>
    <w:rsid w:val="00780B57"/>
    <w:rsid w:val="00783A03"/>
    <w:rsid w:val="007862F5"/>
    <w:rsid w:val="00786B65"/>
    <w:rsid w:val="00786BFC"/>
    <w:rsid w:val="00786DD3"/>
    <w:rsid w:val="00787FCF"/>
    <w:rsid w:val="007905F3"/>
    <w:rsid w:val="00790BC4"/>
    <w:rsid w:val="00790C80"/>
    <w:rsid w:val="00791540"/>
    <w:rsid w:val="00792547"/>
    <w:rsid w:val="007928F1"/>
    <w:rsid w:val="00792FBD"/>
    <w:rsid w:val="007930BB"/>
    <w:rsid w:val="00794CB3"/>
    <w:rsid w:val="00795FFE"/>
    <w:rsid w:val="00796B3C"/>
    <w:rsid w:val="007970E2"/>
    <w:rsid w:val="007A039B"/>
    <w:rsid w:val="007A2A75"/>
    <w:rsid w:val="007A5CDB"/>
    <w:rsid w:val="007A72FA"/>
    <w:rsid w:val="007B0A4B"/>
    <w:rsid w:val="007B117D"/>
    <w:rsid w:val="007B14DC"/>
    <w:rsid w:val="007B2809"/>
    <w:rsid w:val="007B3A74"/>
    <w:rsid w:val="007B4503"/>
    <w:rsid w:val="007C4884"/>
    <w:rsid w:val="007C4BDF"/>
    <w:rsid w:val="007C4E02"/>
    <w:rsid w:val="007C4E0C"/>
    <w:rsid w:val="007C5BA8"/>
    <w:rsid w:val="007D3DB9"/>
    <w:rsid w:val="007D7E5D"/>
    <w:rsid w:val="007E0D6C"/>
    <w:rsid w:val="007E171A"/>
    <w:rsid w:val="007E2324"/>
    <w:rsid w:val="007E3A3B"/>
    <w:rsid w:val="007E4C3E"/>
    <w:rsid w:val="007F16E1"/>
    <w:rsid w:val="007F4341"/>
    <w:rsid w:val="007F482C"/>
    <w:rsid w:val="007F5E01"/>
    <w:rsid w:val="007F70DF"/>
    <w:rsid w:val="007F72A3"/>
    <w:rsid w:val="00800BFE"/>
    <w:rsid w:val="0080707E"/>
    <w:rsid w:val="00814A53"/>
    <w:rsid w:val="008164A5"/>
    <w:rsid w:val="00820AC4"/>
    <w:rsid w:val="00825A39"/>
    <w:rsid w:val="00825EB2"/>
    <w:rsid w:val="00826BD5"/>
    <w:rsid w:val="0082762C"/>
    <w:rsid w:val="00830845"/>
    <w:rsid w:val="008312F3"/>
    <w:rsid w:val="00831E42"/>
    <w:rsid w:val="00832671"/>
    <w:rsid w:val="00832A14"/>
    <w:rsid w:val="008337A6"/>
    <w:rsid w:val="00834360"/>
    <w:rsid w:val="00843A71"/>
    <w:rsid w:val="00843E8E"/>
    <w:rsid w:val="00845F5B"/>
    <w:rsid w:val="0085117B"/>
    <w:rsid w:val="00853BE8"/>
    <w:rsid w:val="00853F04"/>
    <w:rsid w:val="0086164C"/>
    <w:rsid w:val="00861CE1"/>
    <w:rsid w:val="0086307B"/>
    <w:rsid w:val="00867143"/>
    <w:rsid w:val="00871D6C"/>
    <w:rsid w:val="00871F7F"/>
    <w:rsid w:val="00875C4C"/>
    <w:rsid w:val="00876574"/>
    <w:rsid w:val="0087666A"/>
    <w:rsid w:val="00876BCA"/>
    <w:rsid w:val="00880F4A"/>
    <w:rsid w:val="00881230"/>
    <w:rsid w:val="008848B8"/>
    <w:rsid w:val="00884F4C"/>
    <w:rsid w:val="008901B5"/>
    <w:rsid w:val="008932C7"/>
    <w:rsid w:val="00893E26"/>
    <w:rsid w:val="008941EB"/>
    <w:rsid w:val="008951BD"/>
    <w:rsid w:val="00896119"/>
    <w:rsid w:val="00896C20"/>
    <w:rsid w:val="008A32D8"/>
    <w:rsid w:val="008A3C73"/>
    <w:rsid w:val="008B1564"/>
    <w:rsid w:val="008B301E"/>
    <w:rsid w:val="008B3415"/>
    <w:rsid w:val="008B3739"/>
    <w:rsid w:val="008B4590"/>
    <w:rsid w:val="008B5B80"/>
    <w:rsid w:val="008B5FED"/>
    <w:rsid w:val="008B63CC"/>
    <w:rsid w:val="008B64DC"/>
    <w:rsid w:val="008C1E89"/>
    <w:rsid w:val="008C3260"/>
    <w:rsid w:val="008C4880"/>
    <w:rsid w:val="008C49B9"/>
    <w:rsid w:val="008C537A"/>
    <w:rsid w:val="008D0DCF"/>
    <w:rsid w:val="008D2672"/>
    <w:rsid w:val="008D4989"/>
    <w:rsid w:val="008D601C"/>
    <w:rsid w:val="008D76FE"/>
    <w:rsid w:val="008E0015"/>
    <w:rsid w:val="008E01C0"/>
    <w:rsid w:val="008E075A"/>
    <w:rsid w:val="008E190D"/>
    <w:rsid w:val="008E3182"/>
    <w:rsid w:val="008E34C9"/>
    <w:rsid w:val="008E3E1A"/>
    <w:rsid w:val="008E4ED1"/>
    <w:rsid w:val="008E6FDA"/>
    <w:rsid w:val="008F02DC"/>
    <w:rsid w:val="008F0C99"/>
    <w:rsid w:val="008F14DA"/>
    <w:rsid w:val="008F2620"/>
    <w:rsid w:val="008F2AAF"/>
    <w:rsid w:val="008F3836"/>
    <w:rsid w:val="008F5C97"/>
    <w:rsid w:val="008F7C5D"/>
    <w:rsid w:val="009053FA"/>
    <w:rsid w:val="00906895"/>
    <w:rsid w:val="009073AF"/>
    <w:rsid w:val="009100E2"/>
    <w:rsid w:val="00911B2F"/>
    <w:rsid w:val="00911D1D"/>
    <w:rsid w:val="009128CD"/>
    <w:rsid w:val="00912C7C"/>
    <w:rsid w:val="009139B3"/>
    <w:rsid w:val="00913A28"/>
    <w:rsid w:val="0091525E"/>
    <w:rsid w:val="009156C1"/>
    <w:rsid w:val="00916E76"/>
    <w:rsid w:val="009179A0"/>
    <w:rsid w:val="0092134E"/>
    <w:rsid w:val="009225DA"/>
    <w:rsid w:val="00925F7B"/>
    <w:rsid w:val="009305BF"/>
    <w:rsid w:val="009327F8"/>
    <w:rsid w:val="00932CC8"/>
    <w:rsid w:val="0093491A"/>
    <w:rsid w:val="0093555C"/>
    <w:rsid w:val="00936C37"/>
    <w:rsid w:val="009404CA"/>
    <w:rsid w:val="00940C65"/>
    <w:rsid w:val="00942632"/>
    <w:rsid w:val="009452F0"/>
    <w:rsid w:val="00951228"/>
    <w:rsid w:val="00952D59"/>
    <w:rsid w:val="00954DB3"/>
    <w:rsid w:val="00957A54"/>
    <w:rsid w:val="00960675"/>
    <w:rsid w:val="00961AA2"/>
    <w:rsid w:val="00964158"/>
    <w:rsid w:val="00964CDA"/>
    <w:rsid w:val="00971603"/>
    <w:rsid w:val="00972EBE"/>
    <w:rsid w:val="009755F3"/>
    <w:rsid w:val="00980F4F"/>
    <w:rsid w:val="009827EB"/>
    <w:rsid w:val="00982F7A"/>
    <w:rsid w:val="00983C0D"/>
    <w:rsid w:val="00984D84"/>
    <w:rsid w:val="00985C98"/>
    <w:rsid w:val="00990AE5"/>
    <w:rsid w:val="009918E7"/>
    <w:rsid w:val="00992B1C"/>
    <w:rsid w:val="00996F46"/>
    <w:rsid w:val="00997556"/>
    <w:rsid w:val="009A011B"/>
    <w:rsid w:val="009A1C78"/>
    <w:rsid w:val="009A2554"/>
    <w:rsid w:val="009A347A"/>
    <w:rsid w:val="009A4E53"/>
    <w:rsid w:val="009A6C04"/>
    <w:rsid w:val="009A7107"/>
    <w:rsid w:val="009A7C91"/>
    <w:rsid w:val="009B16E9"/>
    <w:rsid w:val="009B1A80"/>
    <w:rsid w:val="009C1F69"/>
    <w:rsid w:val="009C3443"/>
    <w:rsid w:val="009C60D5"/>
    <w:rsid w:val="009C6B60"/>
    <w:rsid w:val="009D0B1D"/>
    <w:rsid w:val="009D4183"/>
    <w:rsid w:val="009D5192"/>
    <w:rsid w:val="009D52EA"/>
    <w:rsid w:val="009D6DF8"/>
    <w:rsid w:val="009E03C8"/>
    <w:rsid w:val="009E1461"/>
    <w:rsid w:val="009E40C9"/>
    <w:rsid w:val="009E4E33"/>
    <w:rsid w:val="009F2B9F"/>
    <w:rsid w:val="009F3CBA"/>
    <w:rsid w:val="009F7A08"/>
    <w:rsid w:val="009F7EA1"/>
    <w:rsid w:val="00A00D4C"/>
    <w:rsid w:val="00A02956"/>
    <w:rsid w:val="00A0564A"/>
    <w:rsid w:val="00A06715"/>
    <w:rsid w:val="00A06CA1"/>
    <w:rsid w:val="00A12145"/>
    <w:rsid w:val="00A1629E"/>
    <w:rsid w:val="00A16B6C"/>
    <w:rsid w:val="00A17BC2"/>
    <w:rsid w:val="00A2071A"/>
    <w:rsid w:val="00A2367D"/>
    <w:rsid w:val="00A23A5A"/>
    <w:rsid w:val="00A24631"/>
    <w:rsid w:val="00A26488"/>
    <w:rsid w:val="00A267C2"/>
    <w:rsid w:val="00A30586"/>
    <w:rsid w:val="00A32B47"/>
    <w:rsid w:val="00A32DDD"/>
    <w:rsid w:val="00A3385C"/>
    <w:rsid w:val="00A35872"/>
    <w:rsid w:val="00A36B88"/>
    <w:rsid w:val="00A41F3D"/>
    <w:rsid w:val="00A44AD4"/>
    <w:rsid w:val="00A450C3"/>
    <w:rsid w:val="00A46B78"/>
    <w:rsid w:val="00A548E5"/>
    <w:rsid w:val="00A55015"/>
    <w:rsid w:val="00A6270A"/>
    <w:rsid w:val="00A64301"/>
    <w:rsid w:val="00A65F85"/>
    <w:rsid w:val="00A66AD7"/>
    <w:rsid w:val="00A66DB7"/>
    <w:rsid w:val="00A6752E"/>
    <w:rsid w:val="00A70384"/>
    <w:rsid w:val="00A72B52"/>
    <w:rsid w:val="00A72D22"/>
    <w:rsid w:val="00A7501D"/>
    <w:rsid w:val="00A764F9"/>
    <w:rsid w:val="00A76F6B"/>
    <w:rsid w:val="00A80448"/>
    <w:rsid w:val="00A82231"/>
    <w:rsid w:val="00A83186"/>
    <w:rsid w:val="00A8554B"/>
    <w:rsid w:val="00A85A8D"/>
    <w:rsid w:val="00A85CE0"/>
    <w:rsid w:val="00A905E0"/>
    <w:rsid w:val="00A92580"/>
    <w:rsid w:val="00A93226"/>
    <w:rsid w:val="00AA27D0"/>
    <w:rsid w:val="00AA2D7D"/>
    <w:rsid w:val="00AA31A6"/>
    <w:rsid w:val="00AA5B66"/>
    <w:rsid w:val="00AA621C"/>
    <w:rsid w:val="00AA7F51"/>
    <w:rsid w:val="00AB1AF1"/>
    <w:rsid w:val="00AB3F5D"/>
    <w:rsid w:val="00AB5BCA"/>
    <w:rsid w:val="00AB65AD"/>
    <w:rsid w:val="00AB68E9"/>
    <w:rsid w:val="00AB6E1E"/>
    <w:rsid w:val="00AB777B"/>
    <w:rsid w:val="00AC16CD"/>
    <w:rsid w:val="00AC1E39"/>
    <w:rsid w:val="00AC2F2F"/>
    <w:rsid w:val="00AC38D3"/>
    <w:rsid w:val="00AC40AE"/>
    <w:rsid w:val="00AC58C4"/>
    <w:rsid w:val="00AC71DA"/>
    <w:rsid w:val="00AC7761"/>
    <w:rsid w:val="00AD2EEF"/>
    <w:rsid w:val="00AE01FA"/>
    <w:rsid w:val="00AE3EE7"/>
    <w:rsid w:val="00AF356A"/>
    <w:rsid w:val="00AF58BC"/>
    <w:rsid w:val="00B01A8E"/>
    <w:rsid w:val="00B05D73"/>
    <w:rsid w:val="00B06421"/>
    <w:rsid w:val="00B07EE8"/>
    <w:rsid w:val="00B1240D"/>
    <w:rsid w:val="00B14CB5"/>
    <w:rsid w:val="00B15F41"/>
    <w:rsid w:val="00B235DA"/>
    <w:rsid w:val="00B23A6B"/>
    <w:rsid w:val="00B2468B"/>
    <w:rsid w:val="00B26042"/>
    <w:rsid w:val="00B3299E"/>
    <w:rsid w:val="00B3357A"/>
    <w:rsid w:val="00B359FD"/>
    <w:rsid w:val="00B3699F"/>
    <w:rsid w:val="00B36BC0"/>
    <w:rsid w:val="00B36CC2"/>
    <w:rsid w:val="00B36FC9"/>
    <w:rsid w:val="00B37F43"/>
    <w:rsid w:val="00B419C8"/>
    <w:rsid w:val="00B42CDB"/>
    <w:rsid w:val="00B43348"/>
    <w:rsid w:val="00B43E2F"/>
    <w:rsid w:val="00B459B3"/>
    <w:rsid w:val="00B476A5"/>
    <w:rsid w:val="00B51132"/>
    <w:rsid w:val="00B518A6"/>
    <w:rsid w:val="00B60FFA"/>
    <w:rsid w:val="00B63349"/>
    <w:rsid w:val="00B63C1A"/>
    <w:rsid w:val="00B652EC"/>
    <w:rsid w:val="00B6553B"/>
    <w:rsid w:val="00B65749"/>
    <w:rsid w:val="00B667EA"/>
    <w:rsid w:val="00B67D04"/>
    <w:rsid w:val="00B74303"/>
    <w:rsid w:val="00B747E8"/>
    <w:rsid w:val="00B77A94"/>
    <w:rsid w:val="00B77EBB"/>
    <w:rsid w:val="00B80861"/>
    <w:rsid w:val="00B86330"/>
    <w:rsid w:val="00B86886"/>
    <w:rsid w:val="00B93085"/>
    <w:rsid w:val="00B94401"/>
    <w:rsid w:val="00B94F57"/>
    <w:rsid w:val="00B95309"/>
    <w:rsid w:val="00BA1B33"/>
    <w:rsid w:val="00BA5B1E"/>
    <w:rsid w:val="00BB63F8"/>
    <w:rsid w:val="00BC008F"/>
    <w:rsid w:val="00BC1563"/>
    <w:rsid w:val="00BC209E"/>
    <w:rsid w:val="00BC36BE"/>
    <w:rsid w:val="00BC423F"/>
    <w:rsid w:val="00BC4682"/>
    <w:rsid w:val="00BD0801"/>
    <w:rsid w:val="00BD537C"/>
    <w:rsid w:val="00BD5E6E"/>
    <w:rsid w:val="00BD67B4"/>
    <w:rsid w:val="00BD6B52"/>
    <w:rsid w:val="00BE5DD2"/>
    <w:rsid w:val="00BE5F4E"/>
    <w:rsid w:val="00BF12F4"/>
    <w:rsid w:val="00BF23A7"/>
    <w:rsid w:val="00BF30EE"/>
    <w:rsid w:val="00BF5A6B"/>
    <w:rsid w:val="00BF5E02"/>
    <w:rsid w:val="00C004A5"/>
    <w:rsid w:val="00C02C0E"/>
    <w:rsid w:val="00C04F31"/>
    <w:rsid w:val="00C0591B"/>
    <w:rsid w:val="00C05994"/>
    <w:rsid w:val="00C05FF8"/>
    <w:rsid w:val="00C06B02"/>
    <w:rsid w:val="00C10311"/>
    <w:rsid w:val="00C10CC3"/>
    <w:rsid w:val="00C11292"/>
    <w:rsid w:val="00C13959"/>
    <w:rsid w:val="00C20B1F"/>
    <w:rsid w:val="00C20D74"/>
    <w:rsid w:val="00C2397B"/>
    <w:rsid w:val="00C26356"/>
    <w:rsid w:val="00C3277F"/>
    <w:rsid w:val="00C32944"/>
    <w:rsid w:val="00C35905"/>
    <w:rsid w:val="00C40160"/>
    <w:rsid w:val="00C4548C"/>
    <w:rsid w:val="00C502EA"/>
    <w:rsid w:val="00C522A9"/>
    <w:rsid w:val="00C53B76"/>
    <w:rsid w:val="00C5583B"/>
    <w:rsid w:val="00C55C6A"/>
    <w:rsid w:val="00C5795A"/>
    <w:rsid w:val="00C57E29"/>
    <w:rsid w:val="00C61CDD"/>
    <w:rsid w:val="00C622A8"/>
    <w:rsid w:val="00C62A5D"/>
    <w:rsid w:val="00C64C6E"/>
    <w:rsid w:val="00C66536"/>
    <w:rsid w:val="00C669D8"/>
    <w:rsid w:val="00C67747"/>
    <w:rsid w:val="00C70EAC"/>
    <w:rsid w:val="00C71F7B"/>
    <w:rsid w:val="00C73376"/>
    <w:rsid w:val="00C73DBF"/>
    <w:rsid w:val="00C7570B"/>
    <w:rsid w:val="00C75AF2"/>
    <w:rsid w:val="00C77FDE"/>
    <w:rsid w:val="00C82173"/>
    <w:rsid w:val="00C824E5"/>
    <w:rsid w:val="00C82A1C"/>
    <w:rsid w:val="00C82F1D"/>
    <w:rsid w:val="00C8490B"/>
    <w:rsid w:val="00C84927"/>
    <w:rsid w:val="00C91C70"/>
    <w:rsid w:val="00C931D0"/>
    <w:rsid w:val="00C93A13"/>
    <w:rsid w:val="00C949FA"/>
    <w:rsid w:val="00C94B3C"/>
    <w:rsid w:val="00C9551C"/>
    <w:rsid w:val="00C95B10"/>
    <w:rsid w:val="00C97E24"/>
    <w:rsid w:val="00CA0889"/>
    <w:rsid w:val="00CA09B7"/>
    <w:rsid w:val="00CA111A"/>
    <w:rsid w:val="00CA3249"/>
    <w:rsid w:val="00CA3BC7"/>
    <w:rsid w:val="00CA4B41"/>
    <w:rsid w:val="00CB0C81"/>
    <w:rsid w:val="00CB0C95"/>
    <w:rsid w:val="00CB298E"/>
    <w:rsid w:val="00CB7C99"/>
    <w:rsid w:val="00CB7EF3"/>
    <w:rsid w:val="00CC5D07"/>
    <w:rsid w:val="00CC77A6"/>
    <w:rsid w:val="00CD154F"/>
    <w:rsid w:val="00CD36FE"/>
    <w:rsid w:val="00CD4A9F"/>
    <w:rsid w:val="00CD5469"/>
    <w:rsid w:val="00CD5748"/>
    <w:rsid w:val="00CD5FDE"/>
    <w:rsid w:val="00CE0002"/>
    <w:rsid w:val="00CE3163"/>
    <w:rsid w:val="00CE5E73"/>
    <w:rsid w:val="00CE60B2"/>
    <w:rsid w:val="00CE766F"/>
    <w:rsid w:val="00CF1718"/>
    <w:rsid w:val="00CF1BC1"/>
    <w:rsid w:val="00CF1D8A"/>
    <w:rsid w:val="00CF7732"/>
    <w:rsid w:val="00D0145A"/>
    <w:rsid w:val="00D024AA"/>
    <w:rsid w:val="00D032EC"/>
    <w:rsid w:val="00D038CC"/>
    <w:rsid w:val="00D03BF9"/>
    <w:rsid w:val="00D04B5B"/>
    <w:rsid w:val="00D0670F"/>
    <w:rsid w:val="00D10999"/>
    <w:rsid w:val="00D12B1F"/>
    <w:rsid w:val="00D1386A"/>
    <w:rsid w:val="00D14F24"/>
    <w:rsid w:val="00D15C80"/>
    <w:rsid w:val="00D16164"/>
    <w:rsid w:val="00D20B62"/>
    <w:rsid w:val="00D25497"/>
    <w:rsid w:val="00D27639"/>
    <w:rsid w:val="00D27A19"/>
    <w:rsid w:val="00D30A25"/>
    <w:rsid w:val="00D30A5F"/>
    <w:rsid w:val="00D30CFF"/>
    <w:rsid w:val="00D3158E"/>
    <w:rsid w:val="00D31A40"/>
    <w:rsid w:val="00D36AE5"/>
    <w:rsid w:val="00D37523"/>
    <w:rsid w:val="00D40147"/>
    <w:rsid w:val="00D4576A"/>
    <w:rsid w:val="00D46C83"/>
    <w:rsid w:val="00D46E06"/>
    <w:rsid w:val="00D5215E"/>
    <w:rsid w:val="00D5712F"/>
    <w:rsid w:val="00D62287"/>
    <w:rsid w:val="00D63644"/>
    <w:rsid w:val="00D64B71"/>
    <w:rsid w:val="00D64DC7"/>
    <w:rsid w:val="00D66DAD"/>
    <w:rsid w:val="00D671FB"/>
    <w:rsid w:val="00D67901"/>
    <w:rsid w:val="00D75794"/>
    <w:rsid w:val="00D75B10"/>
    <w:rsid w:val="00D767E6"/>
    <w:rsid w:val="00D77786"/>
    <w:rsid w:val="00D77FC2"/>
    <w:rsid w:val="00D81CE3"/>
    <w:rsid w:val="00D90593"/>
    <w:rsid w:val="00D91DCE"/>
    <w:rsid w:val="00D93972"/>
    <w:rsid w:val="00D939AB"/>
    <w:rsid w:val="00D9528A"/>
    <w:rsid w:val="00D9583E"/>
    <w:rsid w:val="00DA056E"/>
    <w:rsid w:val="00DA0593"/>
    <w:rsid w:val="00DA162C"/>
    <w:rsid w:val="00DA1F8E"/>
    <w:rsid w:val="00DA37DE"/>
    <w:rsid w:val="00DA47BA"/>
    <w:rsid w:val="00DA6FEE"/>
    <w:rsid w:val="00DB0666"/>
    <w:rsid w:val="00DB3F67"/>
    <w:rsid w:val="00DB57B2"/>
    <w:rsid w:val="00DB5D74"/>
    <w:rsid w:val="00DC2F22"/>
    <w:rsid w:val="00DC4025"/>
    <w:rsid w:val="00DC4138"/>
    <w:rsid w:val="00DC550A"/>
    <w:rsid w:val="00DC682B"/>
    <w:rsid w:val="00DC7A1F"/>
    <w:rsid w:val="00DC7A5B"/>
    <w:rsid w:val="00DD0456"/>
    <w:rsid w:val="00DD13D3"/>
    <w:rsid w:val="00DD1E10"/>
    <w:rsid w:val="00DD23C2"/>
    <w:rsid w:val="00DD2F17"/>
    <w:rsid w:val="00DD4A47"/>
    <w:rsid w:val="00DD4EA4"/>
    <w:rsid w:val="00DD699D"/>
    <w:rsid w:val="00DD6FB8"/>
    <w:rsid w:val="00DE0D83"/>
    <w:rsid w:val="00DE1731"/>
    <w:rsid w:val="00DE3B1F"/>
    <w:rsid w:val="00DE3DF9"/>
    <w:rsid w:val="00DE4355"/>
    <w:rsid w:val="00DE44BE"/>
    <w:rsid w:val="00DE7DEF"/>
    <w:rsid w:val="00DF6B13"/>
    <w:rsid w:val="00E0142C"/>
    <w:rsid w:val="00E015FD"/>
    <w:rsid w:val="00E02589"/>
    <w:rsid w:val="00E0290F"/>
    <w:rsid w:val="00E02B22"/>
    <w:rsid w:val="00E02C4B"/>
    <w:rsid w:val="00E032C2"/>
    <w:rsid w:val="00E047E1"/>
    <w:rsid w:val="00E06CF5"/>
    <w:rsid w:val="00E06FA1"/>
    <w:rsid w:val="00E13907"/>
    <w:rsid w:val="00E1470E"/>
    <w:rsid w:val="00E14889"/>
    <w:rsid w:val="00E14E29"/>
    <w:rsid w:val="00E17801"/>
    <w:rsid w:val="00E20A82"/>
    <w:rsid w:val="00E21E6F"/>
    <w:rsid w:val="00E22074"/>
    <w:rsid w:val="00E23E6C"/>
    <w:rsid w:val="00E24078"/>
    <w:rsid w:val="00E25B06"/>
    <w:rsid w:val="00E2764E"/>
    <w:rsid w:val="00E30851"/>
    <w:rsid w:val="00E3124C"/>
    <w:rsid w:val="00E314C5"/>
    <w:rsid w:val="00E31BF0"/>
    <w:rsid w:val="00E32868"/>
    <w:rsid w:val="00E33ABC"/>
    <w:rsid w:val="00E368F9"/>
    <w:rsid w:val="00E41A23"/>
    <w:rsid w:val="00E43228"/>
    <w:rsid w:val="00E4406A"/>
    <w:rsid w:val="00E44164"/>
    <w:rsid w:val="00E44AE4"/>
    <w:rsid w:val="00E51CB6"/>
    <w:rsid w:val="00E52256"/>
    <w:rsid w:val="00E606E4"/>
    <w:rsid w:val="00E61920"/>
    <w:rsid w:val="00E657FC"/>
    <w:rsid w:val="00E70E08"/>
    <w:rsid w:val="00E739AE"/>
    <w:rsid w:val="00E73DF5"/>
    <w:rsid w:val="00E74A75"/>
    <w:rsid w:val="00E74C65"/>
    <w:rsid w:val="00E81DEC"/>
    <w:rsid w:val="00E8655B"/>
    <w:rsid w:val="00E86E7B"/>
    <w:rsid w:val="00E8716D"/>
    <w:rsid w:val="00E87DAB"/>
    <w:rsid w:val="00E900B8"/>
    <w:rsid w:val="00E91DEA"/>
    <w:rsid w:val="00E92927"/>
    <w:rsid w:val="00E92E1F"/>
    <w:rsid w:val="00E9569D"/>
    <w:rsid w:val="00E96568"/>
    <w:rsid w:val="00E9704C"/>
    <w:rsid w:val="00EA2D2B"/>
    <w:rsid w:val="00EA36EB"/>
    <w:rsid w:val="00EA5035"/>
    <w:rsid w:val="00EA5CEA"/>
    <w:rsid w:val="00EA5F94"/>
    <w:rsid w:val="00EA7FD8"/>
    <w:rsid w:val="00EB1411"/>
    <w:rsid w:val="00EB32A2"/>
    <w:rsid w:val="00EC171D"/>
    <w:rsid w:val="00EC2A7E"/>
    <w:rsid w:val="00EC312E"/>
    <w:rsid w:val="00ED0C2E"/>
    <w:rsid w:val="00ED1265"/>
    <w:rsid w:val="00ED146C"/>
    <w:rsid w:val="00ED4022"/>
    <w:rsid w:val="00ED686D"/>
    <w:rsid w:val="00EE341F"/>
    <w:rsid w:val="00EE45CA"/>
    <w:rsid w:val="00EE576E"/>
    <w:rsid w:val="00EF1F76"/>
    <w:rsid w:val="00EF208D"/>
    <w:rsid w:val="00EF5974"/>
    <w:rsid w:val="00F00A74"/>
    <w:rsid w:val="00F02CD6"/>
    <w:rsid w:val="00F03D72"/>
    <w:rsid w:val="00F04754"/>
    <w:rsid w:val="00F06C97"/>
    <w:rsid w:val="00F11842"/>
    <w:rsid w:val="00F1323C"/>
    <w:rsid w:val="00F156C3"/>
    <w:rsid w:val="00F15D39"/>
    <w:rsid w:val="00F166CC"/>
    <w:rsid w:val="00F17FF4"/>
    <w:rsid w:val="00F24D74"/>
    <w:rsid w:val="00F320EC"/>
    <w:rsid w:val="00F34BDE"/>
    <w:rsid w:val="00F34BEB"/>
    <w:rsid w:val="00F40E40"/>
    <w:rsid w:val="00F4198B"/>
    <w:rsid w:val="00F41BF7"/>
    <w:rsid w:val="00F46CA1"/>
    <w:rsid w:val="00F47761"/>
    <w:rsid w:val="00F47EED"/>
    <w:rsid w:val="00F513A2"/>
    <w:rsid w:val="00F54464"/>
    <w:rsid w:val="00F54A43"/>
    <w:rsid w:val="00F61211"/>
    <w:rsid w:val="00F63C14"/>
    <w:rsid w:val="00F652DF"/>
    <w:rsid w:val="00F666CE"/>
    <w:rsid w:val="00F70143"/>
    <w:rsid w:val="00F70B1D"/>
    <w:rsid w:val="00F712D7"/>
    <w:rsid w:val="00F71868"/>
    <w:rsid w:val="00F72BF3"/>
    <w:rsid w:val="00F733D7"/>
    <w:rsid w:val="00F75A0A"/>
    <w:rsid w:val="00F76389"/>
    <w:rsid w:val="00F80E47"/>
    <w:rsid w:val="00F85900"/>
    <w:rsid w:val="00F8627A"/>
    <w:rsid w:val="00F90B56"/>
    <w:rsid w:val="00F95EA7"/>
    <w:rsid w:val="00F96DB8"/>
    <w:rsid w:val="00F97BAF"/>
    <w:rsid w:val="00FA143B"/>
    <w:rsid w:val="00FA28E5"/>
    <w:rsid w:val="00FA375E"/>
    <w:rsid w:val="00FA3C83"/>
    <w:rsid w:val="00FA606C"/>
    <w:rsid w:val="00FA700F"/>
    <w:rsid w:val="00FA7591"/>
    <w:rsid w:val="00FA7F3D"/>
    <w:rsid w:val="00FB1DAC"/>
    <w:rsid w:val="00FB1DC8"/>
    <w:rsid w:val="00FB25F4"/>
    <w:rsid w:val="00FB5B95"/>
    <w:rsid w:val="00FC1E78"/>
    <w:rsid w:val="00FC33E6"/>
    <w:rsid w:val="00FC4304"/>
    <w:rsid w:val="00FC5640"/>
    <w:rsid w:val="00FC57B7"/>
    <w:rsid w:val="00FD1B5F"/>
    <w:rsid w:val="00FD74F1"/>
    <w:rsid w:val="00FE063C"/>
    <w:rsid w:val="00FE0DC6"/>
    <w:rsid w:val="00FE2203"/>
    <w:rsid w:val="00FE4A67"/>
    <w:rsid w:val="00FE5676"/>
    <w:rsid w:val="00FE6618"/>
    <w:rsid w:val="00FE7BDC"/>
    <w:rsid w:val="00FF21E8"/>
    <w:rsid w:val="00FF2B2E"/>
    <w:rsid w:val="00FF73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F15"/>
    <w:rPr>
      <w:rFonts w:ascii="Times New Roman" w:hAnsi="Times New Roman"/>
      <w:sz w:val="24"/>
      <w:szCs w:val="24"/>
    </w:rPr>
  </w:style>
  <w:style w:type="paragraph" w:styleId="Heading1">
    <w:name w:val="heading 1"/>
    <w:basedOn w:val="Normal"/>
    <w:next w:val="Normal"/>
    <w:link w:val="Heading1Char"/>
    <w:qFormat/>
    <w:rsid w:val="000F1E09"/>
    <w:pPr>
      <w:keepNext/>
      <w:numPr>
        <w:numId w:val="31"/>
      </w:numPr>
      <w:jc w:val="center"/>
      <w:outlineLvl w:val="0"/>
    </w:pPr>
    <w:rPr>
      <w:rFonts w:eastAsia="Times New Roman"/>
      <w:b/>
    </w:rPr>
  </w:style>
  <w:style w:type="paragraph" w:styleId="Heading4">
    <w:name w:val="heading 4"/>
    <w:basedOn w:val="Normal"/>
    <w:next w:val="Normal"/>
    <w:link w:val="Heading4Char"/>
    <w:uiPriority w:val="9"/>
    <w:semiHidden/>
    <w:unhideWhenUsed/>
    <w:qFormat/>
    <w:rsid w:val="00D958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1E09"/>
    <w:rPr>
      <w:rFonts w:ascii="Times New Roman" w:eastAsia="Times New Roman" w:hAnsi="Times New Roman"/>
      <w:b/>
      <w:sz w:val="24"/>
      <w:szCs w:val="24"/>
    </w:rPr>
  </w:style>
  <w:style w:type="character" w:customStyle="1" w:styleId="Heading4Char">
    <w:name w:val="Heading 4 Char"/>
    <w:basedOn w:val="DefaultParagraphFont"/>
    <w:link w:val="Heading4"/>
    <w:uiPriority w:val="9"/>
    <w:semiHidden/>
    <w:rsid w:val="00D9583E"/>
    <w:rPr>
      <w:rFonts w:asciiTheme="majorHAnsi" w:eastAsiaTheme="majorEastAsia" w:hAnsiTheme="majorHAnsi" w:cstheme="majorBidi"/>
      <w:b/>
      <w:bCs/>
      <w:i/>
      <w:iCs/>
      <w:color w:val="4F81BD" w:themeColor="accent1"/>
      <w:sz w:val="24"/>
      <w:szCs w:val="24"/>
    </w:rPr>
  </w:style>
  <w:style w:type="paragraph" w:styleId="NoSpacing">
    <w:name w:val="No Spacing"/>
    <w:uiPriority w:val="1"/>
    <w:qFormat/>
    <w:rsid w:val="00DB57B2"/>
    <w:rPr>
      <w:sz w:val="22"/>
      <w:szCs w:val="22"/>
    </w:rPr>
  </w:style>
  <w:style w:type="paragraph" w:styleId="Header">
    <w:name w:val="header"/>
    <w:basedOn w:val="Normal"/>
    <w:link w:val="HeaderChar"/>
    <w:uiPriority w:val="99"/>
    <w:unhideWhenUsed/>
    <w:rsid w:val="00DB57B2"/>
    <w:pPr>
      <w:tabs>
        <w:tab w:val="center" w:pos="4680"/>
        <w:tab w:val="right" w:pos="9360"/>
      </w:tabs>
    </w:pPr>
  </w:style>
  <w:style w:type="character" w:customStyle="1" w:styleId="HeaderChar">
    <w:name w:val="Header Char"/>
    <w:basedOn w:val="DefaultParagraphFont"/>
    <w:link w:val="Header"/>
    <w:uiPriority w:val="99"/>
    <w:rsid w:val="00DB57B2"/>
  </w:style>
  <w:style w:type="paragraph" w:styleId="Footer">
    <w:name w:val="footer"/>
    <w:basedOn w:val="Normal"/>
    <w:link w:val="FooterChar"/>
    <w:uiPriority w:val="99"/>
    <w:unhideWhenUsed/>
    <w:rsid w:val="00DB57B2"/>
    <w:pPr>
      <w:tabs>
        <w:tab w:val="center" w:pos="4680"/>
        <w:tab w:val="right" w:pos="9360"/>
      </w:tabs>
    </w:pPr>
  </w:style>
  <w:style w:type="character" w:customStyle="1" w:styleId="FooterChar">
    <w:name w:val="Footer Char"/>
    <w:basedOn w:val="DefaultParagraphFont"/>
    <w:link w:val="Footer"/>
    <w:uiPriority w:val="99"/>
    <w:rsid w:val="00DB57B2"/>
  </w:style>
  <w:style w:type="paragraph" w:styleId="BalloonText">
    <w:name w:val="Balloon Text"/>
    <w:basedOn w:val="Normal"/>
    <w:link w:val="BalloonTextChar"/>
    <w:uiPriority w:val="99"/>
    <w:semiHidden/>
    <w:unhideWhenUsed/>
    <w:rsid w:val="00DB57B2"/>
    <w:rPr>
      <w:rFonts w:ascii="Tahoma" w:hAnsi="Tahoma"/>
      <w:sz w:val="16"/>
      <w:szCs w:val="16"/>
    </w:rPr>
  </w:style>
  <w:style w:type="character" w:customStyle="1" w:styleId="BalloonTextChar">
    <w:name w:val="Balloon Text Char"/>
    <w:link w:val="BalloonText"/>
    <w:uiPriority w:val="99"/>
    <w:semiHidden/>
    <w:rsid w:val="00DB57B2"/>
    <w:rPr>
      <w:rFonts w:ascii="Tahoma" w:hAnsi="Tahoma" w:cs="Tahoma"/>
      <w:sz w:val="16"/>
      <w:szCs w:val="16"/>
    </w:rPr>
  </w:style>
  <w:style w:type="table" w:styleId="TableGrid">
    <w:name w:val="Table Grid"/>
    <w:basedOn w:val="TableNormal"/>
    <w:uiPriority w:val="59"/>
    <w:rsid w:val="00DB57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DB57B2"/>
    <w:pPr>
      <w:ind w:left="720"/>
    </w:pPr>
    <w:rPr>
      <w:rFonts w:ascii="Calibri" w:hAnsi="Calibri"/>
    </w:rPr>
  </w:style>
  <w:style w:type="character" w:customStyle="1" w:styleId="ListParagraphChar">
    <w:name w:val="List Paragraph Char"/>
    <w:link w:val="ListParagraph"/>
    <w:uiPriority w:val="34"/>
    <w:locked/>
    <w:rsid w:val="00E17801"/>
    <w:rPr>
      <w:rFonts w:ascii="Calibri" w:eastAsia="Calibri" w:hAnsi="Calibri" w:cs="Times New Roman"/>
      <w:sz w:val="24"/>
      <w:szCs w:val="24"/>
    </w:rPr>
  </w:style>
  <w:style w:type="paragraph" w:styleId="NormalWeb">
    <w:name w:val="Normal (Web)"/>
    <w:basedOn w:val="Normal"/>
    <w:uiPriority w:val="99"/>
    <w:unhideWhenUsed/>
    <w:rsid w:val="00DB57B2"/>
  </w:style>
  <w:style w:type="paragraph" w:customStyle="1" w:styleId="CharChar">
    <w:name w:val="Char Char"/>
    <w:basedOn w:val="Normal"/>
    <w:rsid w:val="009D4183"/>
    <w:pPr>
      <w:spacing w:after="160" w:line="240" w:lineRule="exact"/>
    </w:pPr>
    <w:rPr>
      <w:rFonts w:ascii="Verdana" w:eastAsia="Times New Roman" w:hAnsi="Verdana"/>
      <w:sz w:val="20"/>
      <w:szCs w:val="20"/>
    </w:rPr>
  </w:style>
  <w:style w:type="paragraph" w:styleId="CommentText">
    <w:name w:val="annotation text"/>
    <w:basedOn w:val="Normal"/>
    <w:link w:val="CommentTextChar"/>
    <w:uiPriority w:val="99"/>
    <w:semiHidden/>
    <w:unhideWhenUsed/>
    <w:rsid w:val="008A32D8"/>
    <w:rPr>
      <w:rFonts w:ascii="Calibri" w:hAnsi="Calibri"/>
      <w:sz w:val="20"/>
      <w:szCs w:val="20"/>
    </w:rPr>
  </w:style>
  <w:style w:type="character" w:customStyle="1" w:styleId="CommentTextChar">
    <w:name w:val="Comment Text Char"/>
    <w:link w:val="CommentText"/>
    <w:uiPriority w:val="99"/>
    <w:semiHidden/>
    <w:rsid w:val="008A32D8"/>
    <w:rPr>
      <w:sz w:val="20"/>
      <w:szCs w:val="20"/>
    </w:rPr>
  </w:style>
  <w:style w:type="character" w:styleId="CommentReference">
    <w:name w:val="annotation reference"/>
    <w:uiPriority w:val="99"/>
    <w:semiHidden/>
    <w:unhideWhenUsed/>
    <w:rsid w:val="00732D2E"/>
    <w:rPr>
      <w:sz w:val="16"/>
      <w:szCs w:val="16"/>
    </w:rPr>
  </w:style>
  <w:style w:type="paragraph" w:styleId="CommentSubject">
    <w:name w:val="annotation subject"/>
    <w:basedOn w:val="CommentText"/>
    <w:next w:val="CommentText"/>
    <w:link w:val="CommentSubjectChar"/>
    <w:uiPriority w:val="99"/>
    <w:semiHidden/>
    <w:unhideWhenUsed/>
    <w:rsid w:val="00732D2E"/>
    <w:rPr>
      <w:b/>
      <w:bCs/>
    </w:rPr>
  </w:style>
  <w:style w:type="character" w:customStyle="1" w:styleId="CommentSubjectChar">
    <w:name w:val="Comment Subject Char"/>
    <w:link w:val="CommentSubject"/>
    <w:uiPriority w:val="99"/>
    <w:semiHidden/>
    <w:rsid w:val="00732D2E"/>
    <w:rPr>
      <w:b/>
      <w:bCs/>
      <w:sz w:val="20"/>
      <w:szCs w:val="20"/>
    </w:rPr>
  </w:style>
  <w:style w:type="character" w:styleId="Hyperlink">
    <w:name w:val="Hyperlink"/>
    <w:rsid w:val="007430B3"/>
    <w:rPr>
      <w:color w:val="0000FF"/>
      <w:u w:val="single"/>
    </w:rPr>
  </w:style>
  <w:style w:type="character" w:styleId="FollowedHyperlink">
    <w:name w:val="FollowedHyperlink"/>
    <w:uiPriority w:val="99"/>
    <w:semiHidden/>
    <w:unhideWhenUsed/>
    <w:rsid w:val="00AA621C"/>
    <w:rPr>
      <w:color w:val="800080"/>
      <w:u w:val="single"/>
    </w:rPr>
  </w:style>
  <w:style w:type="paragraph" w:styleId="Revision">
    <w:name w:val="Revision"/>
    <w:hidden/>
    <w:uiPriority w:val="99"/>
    <w:semiHidden/>
    <w:rsid w:val="000054F1"/>
    <w:rPr>
      <w:rFonts w:ascii="Times New Roman" w:hAnsi="Times New Roman"/>
      <w:sz w:val="24"/>
      <w:szCs w:val="24"/>
    </w:rPr>
  </w:style>
  <w:style w:type="character" w:customStyle="1" w:styleId="BulletListMultipleChar">
    <w:name w:val="Bullet List Multiple Char"/>
    <w:link w:val="BulletListMultiple"/>
    <w:locked/>
    <w:rsid w:val="00C97E24"/>
    <w:rPr>
      <w:sz w:val="24"/>
      <w:lang w:val="en-US" w:eastAsia="en-US" w:bidi="ar-SA"/>
    </w:rPr>
  </w:style>
  <w:style w:type="paragraph" w:customStyle="1" w:styleId="BulletListMultiple">
    <w:name w:val="Bullet List Multiple"/>
    <w:link w:val="BulletListMultipleChar"/>
    <w:rsid w:val="00C97E24"/>
    <w:pPr>
      <w:spacing w:before="80" w:after="80"/>
    </w:pPr>
    <w:rPr>
      <w:sz w:val="24"/>
    </w:rPr>
  </w:style>
  <w:style w:type="paragraph" w:customStyle="1" w:styleId="bulletlistmultiplecxspmiddlecxspmiddle">
    <w:name w:val="bulletlistmultiplecxspmiddlecxspmiddle"/>
    <w:basedOn w:val="Normal"/>
    <w:rsid w:val="00C97E24"/>
    <w:pPr>
      <w:spacing w:before="100" w:beforeAutospacing="1" w:after="100" w:afterAutospacing="1"/>
    </w:pPr>
    <w:rPr>
      <w:rFonts w:eastAsia="Times New Roman"/>
    </w:rPr>
  </w:style>
  <w:style w:type="paragraph" w:customStyle="1" w:styleId="bulletlistmultiplecxspmiddlecxspmiddlecxspmiddle">
    <w:name w:val="bulletlistmultiplecxspmiddlecxspmiddlecxspmiddle"/>
    <w:basedOn w:val="Normal"/>
    <w:rsid w:val="00C97E24"/>
    <w:pPr>
      <w:spacing w:before="100" w:beforeAutospacing="1" w:after="100" w:afterAutospacing="1"/>
    </w:pPr>
    <w:rPr>
      <w:rFonts w:eastAsia="Times New Roman"/>
    </w:rPr>
  </w:style>
  <w:style w:type="paragraph" w:customStyle="1" w:styleId="bulletlistmultiplecxspmiddle">
    <w:name w:val="bulletlistmultiplecxspmiddle"/>
    <w:basedOn w:val="Normal"/>
    <w:rsid w:val="00C97E24"/>
    <w:pPr>
      <w:spacing w:before="100" w:beforeAutospacing="1" w:after="100" w:afterAutospacing="1"/>
    </w:pPr>
    <w:rPr>
      <w:rFonts w:eastAsia="MS Mincho"/>
      <w:lang w:eastAsia="ja-JP"/>
    </w:rPr>
  </w:style>
  <w:style w:type="character" w:styleId="HTMLCite">
    <w:name w:val="HTML Cite"/>
    <w:basedOn w:val="DefaultParagraphFont"/>
    <w:uiPriority w:val="99"/>
    <w:semiHidden/>
    <w:unhideWhenUsed/>
    <w:rsid w:val="00643E1A"/>
    <w:rPr>
      <w:i/>
      <w:iCs/>
    </w:rPr>
  </w:style>
  <w:style w:type="paragraph" w:styleId="PlainText">
    <w:name w:val="Plain Text"/>
    <w:basedOn w:val="Normal"/>
    <w:link w:val="PlainTextChar"/>
    <w:uiPriority w:val="99"/>
    <w:semiHidden/>
    <w:unhideWhenUsed/>
    <w:rsid w:val="00BC423F"/>
    <w:rPr>
      <w:rFonts w:ascii="Calibri" w:eastAsiaTheme="minorHAnsi" w:hAnsi="Calibri"/>
      <w:sz w:val="22"/>
      <w:szCs w:val="22"/>
    </w:rPr>
  </w:style>
  <w:style w:type="character" w:customStyle="1" w:styleId="PlainTextChar">
    <w:name w:val="Plain Text Char"/>
    <w:basedOn w:val="DefaultParagraphFont"/>
    <w:link w:val="PlainText"/>
    <w:uiPriority w:val="99"/>
    <w:semiHidden/>
    <w:rsid w:val="00BC423F"/>
    <w:rPr>
      <w:rFonts w:eastAsiaTheme="minorHAns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F15"/>
    <w:rPr>
      <w:rFonts w:ascii="Times New Roman" w:hAnsi="Times New Roman"/>
      <w:sz w:val="24"/>
      <w:szCs w:val="24"/>
    </w:rPr>
  </w:style>
  <w:style w:type="paragraph" w:styleId="Heading1">
    <w:name w:val="heading 1"/>
    <w:basedOn w:val="Normal"/>
    <w:next w:val="Normal"/>
    <w:link w:val="Heading1Char"/>
    <w:qFormat/>
    <w:rsid w:val="000F1E09"/>
    <w:pPr>
      <w:keepNext/>
      <w:numPr>
        <w:numId w:val="31"/>
      </w:numPr>
      <w:jc w:val="center"/>
      <w:outlineLvl w:val="0"/>
    </w:pPr>
    <w:rPr>
      <w:rFonts w:eastAsia="Times New Roman"/>
      <w:b/>
    </w:rPr>
  </w:style>
  <w:style w:type="paragraph" w:styleId="Heading4">
    <w:name w:val="heading 4"/>
    <w:basedOn w:val="Normal"/>
    <w:next w:val="Normal"/>
    <w:link w:val="Heading4Char"/>
    <w:uiPriority w:val="9"/>
    <w:semiHidden/>
    <w:unhideWhenUsed/>
    <w:qFormat/>
    <w:rsid w:val="00D958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1E09"/>
    <w:rPr>
      <w:rFonts w:ascii="Times New Roman" w:eastAsia="Times New Roman" w:hAnsi="Times New Roman"/>
      <w:b/>
      <w:sz w:val="24"/>
      <w:szCs w:val="24"/>
    </w:rPr>
  </w:style>
  <w:style w:type="character" w:customStyle="1" w:styleId="Heading4Char">
    <w:name w:val="Heading 4 Char"/>
    <w:basedOn w:val="DefaultParagraphFont"/>
    <w:link w:val="Heading4"/>
    <w:uiPriority w:val="9"/>
    <w:semiHidden/>
    <w:rsid w:val="00D9583E"/>
    <w:rPr>
      <w:rFonts w:asciiTheme="majorHAnsi" w:eastAsiaTheme="majorEastAsia" w:hAnsiTheme="majorHAnsi" w:cstheme="majorBidi"/>
      <w:b/>
      <w:bCs/>
      <w:i/>
      <w:iCs/>
      <w:color w:val="4F81BD" w:themeColor="accent1"/>
      <w:sz w:val="24"/>
      <w:szCs w:val="24"/>
    </w:rPr>
  </w:style>
  <w:style w:type="paragraph" w:styleId="NoSpacing">
    <w:name w:val="No Spacing"/>
    <w:uiPriority w:val="1"/>
    <w:qFormat/>
    <w:rsid w:val="00DB57B2"/>
    <w:rPr>
      <w:sz w:val="22"/>
      <w:szCs w:val="22"/>
    </w:rPr>
  </w:style>
  <w:style w:type="paragraph" w:styleId="Header">
    <w:name w:val="header"/>
    <w:basedOn w:val="Normal"/>
    <w:link w:val="HeaderChar"/>
    <w:uiPriority w:val="99"/>
    <w:unhideWhenUsed/>
    <w:rsid w:val="00DB57B2"/>
    <w:pPr>
      <w:tabs>
        <w:tab w:val="center" w:pos="4680"/>
        <w:tab w:val="right" w:pos="9360"/>
      </w:tabs>
    </w:pPr>
  </w:style>
  <w:style w:type="character" w:customStyle="1" w:styleId="HeaderChar">
    <w:name w:val="Header Char"/>
    <w:basedOn w:val="DefaultParagraphFont"/>
    <w:link w:val="Header"/>
    <w:uiPriority w:val="99"/>
    <w:rsid w:val="00DB57B2"/>
  </w:style>
  <w:style w:type="paragraph" w:styleId="Footer">
    <w:name w:val="footer"/>
    <w:basedOn w:val="Normal"/>
    <w:link w:val="FooterChar"/>
    <w:uiPriority w:val="99"/>
    <w:unhideWhenUsed/>
    <w:rsid w:val="00DB57B2"/>
    <w:pPr>
      <w:tabs>
        <w:tab w:val="center" w:pos="4680"/>
        <w:tab w:val="right" w:pos="9360"/>
      </w:tabs>
    </w:pPr>
  </w:style>
  <w:style w:type="character" w:customStyle="1" w:styleId="FooterChar">
    <w:name w:val="Footer Char"/>
    <w:basedOn w:val="DefaultParagraphFont"/>
    <w:link w:val="Footer"/>
    <w:uiPriority w:val="99"/>
    <w:rsid w:val="00DB57B2"/>
  </w:style>
  <w:style w:type="paragraph" w:styleId="BalloonText">
    <w:name w:val="Balloon Text"/>
    <w:basedOn w:val="Normal"/>
    <w:link w:val="BalloonTextChar"/>
    <w:uiPriority w:val="99"/>
    <w:semiHidden/>
    <w:unhideWhenUsed/>
    <w:rsid w:val="00DB57B2"/>
    <w:rPr>
      <w:rFonts w:ascii="Tahoma" w:hAnsi="Tahoma"/>
      <w:sz w:val="16"/>
      <w:szCs w:val="16"/>
    </w:rPr>
  </w:style>
  <w:style w:type="character" w:customStyle="1" w:styleId="BalloonTextChar">
    <w:name w:val="Balloon Text Char"/>
    <w:link w:val="BalloonText"/>
    <w:uiPriority w:val="99"/>
    <w:semiHidden/>
    <w:rsid w:val="00DB57B2"/>
    <w:rPr>
      <w:rFonts w:ascii="Tahoma" w:hAnsi="Tahoma" w:cs="Tahoma"/>
      <w:sz w:val="16"/>
      <w:szCs w:val="16"/>
    </w:rPr>
  </w:style>
  <w:style w:type="table" w:styleId="TableGrid">
    <w:name w:val="Table Grid"/>
    <w:basedOn w:val="TableNormal"/>
    <w:uiPriority w:val="59"/>
    <w:rsid w:val="00DB57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DB57B2"/>
    <w:pPr>
      <w:ind w:left="720"/>
    </w:pPr>
    <w:rPr>
      <w:rFonts w:ascii="Calibri" w:hAnsi="Calibri"/>
    </w:rPr>
  </w:style>
  <w:style w:type="character" w:customStyle="1" w:styleId="ListParagraphChar">
    <w:name w:val="List Paragraph Char"/>
    <w:link w:val="ListParagraph"/>
    <w:uiPriority w:val="34"/>
    <w:locked/>
    <w:rsid w:val="00E17801"/>
    <w:rPr>
      <w:rFonts w:ascii="Calibri" w:eastAsia="Calibri" w:hAnsi="Calibri" w:cs="Times New Roman"/>
      <w:sz w:val="24"/>
      <w:szCs w:val="24"/>
    </w:rPr>
  </w:style>
  <w:style w:type="paragraph" w:styleId="NormalWeb">
    <w:name w:val="Normal (Web)"/>
    <w:basedOn w:val="Normal"/>
    <w:uiPriority w:val="99"/>
    <w:unhideWhenUsed/>
    <w:rsid w:val="00DB57B2"/>
  </w:style>
  <w:style w:type="paragraph" w:customStyle="1" w:styleId="CharChar">
    <w:name w:val="Char Char"/>
    <w:basedOn w:val="Normal"/>
    <w:rsid w:val="009D4183"/>
    <w:pPr>
      <w:spacing w:after="160" w:line="240" w:lineRule="exact"/>
    </w:pPr>
    <w:rPr>
      <w:rFonts w:ascii="Verdana" w:eastAsia="Times New Roman" w:hAnsi="Verdana"/>
      <w:sz w:val="20"/>
      <w:szCs w:val="20"/>
    </w:rPr>
  </w:style>
  <w:style w:type="paragraph" w:styleId="CommentText">
    <w:name w:val="annotation text"/>
    <w:basedOn w:val="Normal"/>
    <w:link w:val="CommentTextChar"/>
    <w:uiPriority w:val="99"/>
    <w:semiHidden/>
    <w:unhideWhenUsed/>
    <w:rsid w:val="008A32D8"/>
    <w:rPr>
      <w:rFonts w:ascii="Calibri" w:hAnsi="Calibri"/>
      <w:sz w:val="20"/>
      <w:szCs w:val="20"/>
    </w:rPr>
  </w:style>
  <w:style w:type="character" w:customStyle="1" w:styleId="CommentTextChar">
    <w:name w:val="Comment Text Char"/>
    <w:link w:val="CommentText"/>
    <w:uiPriority w:val="99"/>
    <w:semiHidden/>
    <w:rsid w:val="008A32D8"/>
    <w:rPr>
      <w:sz w:val="20"/>
      <w:szCs w:val="20"/>
    </w:rPr>
  </w:style>
  <w:style w:type="character" w:styleId="CommentReference">
    <w:name w:val="annotation reference"/>
    <w:uiPriority w:val="99"/>
    <w:semiHidden/>
    <w:unhideWhenUsed/>
    <w:rsid w:val="00732D2E"/>
    <w:rPr>
      <w:sz w:val="16"/>
      <w:szCs w:val="16"/>
    </w:rPr>
  </w:style>
  <w:style w:type="paragraph" w:styleId="CommentSubject">
    <w:name w:val="annotation subject"/>
    <w:basedOn w:val="CommentText"/>
    <w:next w:val="CommentText"/>
    <w:link w:val="CommentSubjectChar"/>
    <w:uiPriority w:val="99"/>
    <w:semiHidden/>
    <w:unhideWhenUsed/>
    <w:rsid w:val="00732D2E"/>
    <w:rPr>
      <w:b/>
      <w:bCs/>
    </w:rPr>
  </w:style>
  <w:style w:type="character" w:customStyle="1" w:styleId="CommentSubjectChar">
    <w:name w:val="Comment Subject Char"/>
    <w:link w:val="CommentSubject"/>
    <w:uiPriority w:val="99"/>
    <w:semiHidden/>
    <w:rsid w:val="00732D2E"/>
    <w:rPr>
      <w:b/>
      <w:bCs/>
      <w:sz w:val="20"/>
      <w:szCs w:val="20"/>
    </w:rPr>
  </w:style>
  <w:style w:type="character" w:styleId="Hyperlink">
    <w:name w:val="Hyperlink"/>
    <w:rsid w:val="007430B3"/>
    <w:rPr>
      <w:color w:val="0000FF"/>
      <w:u w:val="single"/>
    </w:rPr>
  </w:style>
  <w:style w:type="character" w:styleId="FollowedHyperlink">
    <w:name w:val="FollowedHyperlink"/>
    <w:uiPriority w:val="99"/>
    <w:semiHidden/>
    <w:unhideWhenUsed/>
    <w:rsid w:val="00AA621C"/>
    <w:rPr>
      <w:color w:val="800080"/>
      <w:u w:val="single"/>
    </w:rPr>
  </w:style>
  <w:style w:type="paragraph" w:styleId="Revision">
    <w:name w:val="Revision"/>
    <w:hidden/>
    <w:uiPriority w:val="99"/>
    <w:semiHidden/>
    <w:rsid w:val="000054F1"/>
    <w:rPr>
      <w:rFonts w:ascii="Times New Roman" w:hAnsi="Times New Roman"/>
      <w:sz w:val="24"/>
      <w:szCs w:val="24"/>
    </w:rPr>
  </w:style>
  <w:style w:type="character" w:customStyle="1" w:styleId="BulletListMultipleChar">
    <w:name w:val="Bullet List Multiple Char"/>
    <w:link w:val="BulletListMultiple"/>
    <w:locked/>
    <w:rsid w:val="00C97E24"/>
    <w:rPr>
      <w:sz w:val="24"/>
      <w:lang w:val="en-US" w:eastAsia="en-US" w:bidi="ar-SA"/>
    </w:rPr>
  </w:style>
  <w:style w:type="paragraph" w:customStyle="1" w:styleId="BulletListMultiple">
    <w:name w:val="Bullet List Multiple"/>
    <w:link w:val="BulletListMultipleChar"/>
    <w:rsid w:val="00C97E24"/>
    <w:pPr>
      <w:spacing w:before="80" w:after="80"/>
    </w:pPr>
    <w:rPr>
      <w:sz w:val="24"/>
    </w:rPr>
  </w:style>
  <w:style w:type="paragraph" w:customStyle="1" w:styleId="bulletlistmultiplecxspmiddlecxspmiddle">
    <w:name w:val="bulletlistmultiplecxspmiddlecxspmiddle"/>
    <w:basedOn w:val="Normal"/>
    <w:rsid w:val="00C97E24"/>
    <w:pPr>
      <w:spacing w:before="100" w:beforeAutospacing="1" w:after="100" w:afterAutospacing="1"/>
    </w:pPr>
    <w:rPr>
      <w:rFonts w:eastAsia="Times New Roman"/>
    </w:rPr>
  </w:style>
  <w:style w:type="paragraph" w:customStyle="1" w:styleId="bulletlistmultiplecxspmiddlecxspmiddlecxspmiddle">
    <w:name w:val="bulletlistmultiplecxspmiddlecxspmiddlecxspmiddle"/>
    <w:basedOn w:val="Normal"/>
    <w:rsid w:val="00C97E24"/>
    <w:pPr>
      <w:spacing w:before="100" w:beforeAutospacing="1" w:after="100" w:afterAutospacing="1"/>
    </w:pPr>
    <w:rPr>
      <w:rFonts w:eastAsia="Times New Roman"/>
    </w:rPr>
  </w:style>
  <w:style w:type="paragraph" w:customStyle="1" w:styleId="bulletlistmultiplecxspmiddle">
    <w:name w:val="bulletlistmultiplecxspmiddle"/>
    <w:basedOn w:val="Normal"/>
    <w:rsid w:val="00C97E24"/>
    <w:pPr>
      <w:spacing w:before="100" w:beforeAutospacing="1" w:after="100" w:afterAutospacing="1"/>
    </w:pPr>
    <w:rPr>
      <w:rFonts w:eastAsia="MS Mincho"/>
      <w:lang w:eastAsia="ja-JP"/>
    </w:rPr>
  </w:style>
  <w:style w:type="character" w:styleId="HTMLCite">
    <w:name w:val="HTML Cite"/>
    <w:basedOn w:val="DefaultParagraphFont"/>
    <w:uiPriority w:val="99"/>
    <w:semiHidden/>
    <w:unhideWhenUsed/>
    <w:rsid w:val="00643E1A"/>
    <w:rPr>
      <w:i/>
      <w:iCs/>
    </w:rPr>
  </w:style>
  <w:style w:type="paragraph" w:styleId="PlainText">
    <w:name w:val="Plain Text"/>
    <w:basedOn w:val="Normal"/>
    <w:link w:val="PlainTextChar"/>
    <w:uiPriority w:val="99"/>
    <w:semiHidden/>
    <w:unhideWhenUsed/>
    <w:rsid w:val="00BC423F"/>
    <w:rPr>
      <w:rFonts w:ascii="Calibri" w:eastAsiaTheme="minorHAnsi" w:hAnsi="Calibri"/>
      <w:sz w:val="22"/>
      <w:szCs w:val="22"/>
    </w:rPr>
  </w:style>
  <w:style w:type="character" w:customStyle="1" w:styleId="PlainTextChar">
    <w:name w:val="Plain Text Char"/>
    <w:basedOn w:val="DefaultParagraphFont"/>
    <w:link w:val="PlainText"/>
    <w:uiPriority w:val="99"/>
    <w:semiHidden/>
    <w:rsid w:val="00BC423F"/>
    <w:rPr>
      <w:rFonts w:eastAsiaTheme="minorHAnsi"/>
      <w:sz w:val="22"/>
      <w:szCs w:val="22"/>
    </w:rPr>
  </w:style>
</w:styles>
</file>

<file path=word/webSettings.xml><?xml version="1.0" encoding="utf-8"?>
<w:webSettings xmlns:r="http://schemas.openxmlformats.org/officeDocument/2006/relationships" xmlns:w="http://schemas.openxmlformats.org/wordprocessingml/2006/main">
  <w:divs>
    <w:div w:id="8023008">
      <w:bodyDiv w:val="1"/>
      <w:marLeft w:val="0"/>
      <w:marRight w:val="0"/>
      <w:marTop w:val="0"/>
      <w:marBottom w:val="0"/>
      <w:divBdr>
        <w:top w:val="none" w:sz="0" w:space="0" w:color="auto"/>
        <w:left w:val="none" w:sz="0" w:space="0" w:color="auto"/>
        <w:bottom w:val="none" w:sz="0" w:space="0" w:color="auto"/>
        <w:right w:val="none" w:sz="0" w:space="0" w:color="auto"/>
      </w:divBdr>
    </w:div>
    <w:div w:id="73942243">
      <w:bodyDiv w:val="1"/>
      <w:marLeft w:val="0"/>
      <w:marRight w:val="0"/>
      <w:marTop w:val="0"/>
      <w:marBottom w:val="0"/>
      <w:divBdr>
        <w:top w:val="none" w:sz="0" w:space="0" w:color="auto"/>
        <w:left w:val="none" w:sz="0" w:space="0" w:color="auto"/>
        <w:bottom w:val="none" w:sz="0" w:space="0" w:color="auto"/>
        <w:right w:val="none" w:sz="0" w:space="0" w:color="auto"/>
      </w:divBdr>
    </w:div>
    <w:div w:id="114522999">
      <w:bodyDiv w:val="1"/>
      <w:marLeft w:val="0"/>
      <w:marRight w:val="0"/>
      <w:marTop w:val="0"/>
      <w:marBottom w:val="0"/>
      <w:divBdr>
        <w:top w:val="none" w:sz="0" w:space="0" w:color="auto"/>
        <w:left w:val="none" w:sz="0" w:space="0" w:color="auto"/>
        <w:bottom w:val="none" w:sz="0" w:space="0" w:color="auto"/>
        <w:right w:val="none" w:sz="0" w:space="0" w:color="auto"/>
      </w:divBdr>
    </w:div>
    <w:div w:id="154490199">
      <w:bodyDiv w:val="1"/>
      <w:marLeft w:val="0"/>
      <w:marRight w:val="0"/>
      <w:marTop w:val="0"/>
      <w:marBottom w:val="0"/>
      <w:divBdr>
        <w:top w:val="none" w:sz="0" w:space="0" w:color="auto"/>
        <w:left w:val="none" w:sz="0" w:space="0" w:color="auto"/>
        <w:bottom w:val="none" w:sz="0" w:space="0" w:color="auto"/>
        <w:right w:val="none" w:sz="0" w:space="0" w:color="auto"/>
      </w:divBdr>
    </w:div>
    <w:div w:id="177698126">
      <w:bodyDiv w:val="1"/>
      <w:marLeft w:val="0"/>
      <w:marRight w:val="0"/>
      <w:marTop w:val="0"/>
      <w:marBottom w:val="0"/>
      <w:divBdr>
        <w:top w:val="none" w:sz="0" w:space="0" w:color="auto"/>
        <w:left w:val="none" w:sz="0" w:space="0" w:color="auto"/>
        <w:bottom w:val="none" w:sz="0" w:space="0" w:color="auto"/>
        <w:right w:val="none" w:sz="0" w:space="0" w:color="auto"/>
      </w:divBdr>
    </w:div>
    <w:div w:id="270163594">
      <w:bodyDiv w:val="1"/>
      <w:marLeft w:val="0"/>
      <w:marRight w:val="0"/>
      <w:marTop w:val="0"/>
      <w:marBottom w:val="0"/>
      <w:divBdr>
        <w:top w:val="none" w:sz="0" w:space="0" w:color="auto"/>
        <w:left w:val="none" w:sz="0" w:space="0" w:color="auto"/>
        <w:bottom w:val="none" w:sz="0" w:space="0" w:color="auto"/>
        <w:right w:val="none" w:sz="0" w:space="0" w:color="auto"/>
      </w:divBdr>
    </w:div>
    <w:div w:id="281888500">
      <w:bodyDiv w:val="1"/>
      <w:marLeft w:val="0"/>
      <w:marRight w:val="0"/>
      <w:marTop w:val="0"/>
      <w:marBottom w:val="0"/>
      <w:divBdr>
        <w:top w:val="none" w:sz="0" w:space="0" w:color="auto"/>
        <w:left w:val="none" w:sz="0" w:space="0" w:color="auto"/>
        <w:bottom w:val="none" w:sz="0" w:space="0" w:color="auto"/>
        <w:right w:val="none" w:sz="0" w:space="0" w:color="auto"/>
      </w:divBdr>
    </w:div>
    <w:div w:id="349912510">
      <w:bodyDiv w:val="1"/>
      <w:marLeft w:val="0"/>
      <w:marRight w:val="0"/>
      <w:marTop w:val="0"/>
      <w:marBottom w:val="0"/>
      <w:divBdr>
        <w:top w:val="none" w:sz="0" w:space="0" w:color="auto"/>
        <w:left w:val="none" w:sz="0" w:space="0" w:color="auto"/>
        <w:bottom w:val="none" w:sz="0" w:space="0" w:color="auto"/>
        <w:right w:val="none" w:sz="0" w:space="0" w:color="auto"/>
      </w:divBdr>
    </w:div>
    <w:div w:id="349988758">
      <w:bodyDiv w:val="1"/>
      <w:marLeft w:val="0"/>
      <w:marRight w:val="0"/>
      <w:marTop w:val="0"/>
      <w:marBottom w:val="0"/>
      <w:divBdr>
        <w:top w:val="none" w:sz="0" w:space="0" w:color="auto"/>
        <w:left w:val="none" w:sz="0" w:space="0" w:color="auto"/>
        <w:bottom w:val="none" w:sz="0" w:space="0" w:color="auto"/>
        <w:right w:val="none" w:sz="0" w:space="0" w:color="auto"/>
      </w:divBdr>
    </w:div>
    <w:div w:id="364406771">
      <w:bodyDiv w:val="1"/>
      <w:marLeft w:val="0"/>
      <w:marRight w:val="0"/>
      <w:marTop w:val="0"/>
      <w:marBottom w:val="0"/>
      <w:divBdr>
        <w:top w:val="none" w:sz="0" w:space="0" w:color="auto"/>
        <w:left w:val="none" w:sz="0" w:space="0" w:color="auto"/>
        <w:bottom w:val="none" w:sz="0" w:space="0" w:color="auto"/>
        <w:right w:val="none" w:sz="0" w:space="0" w:color="auto"/>
      </w:divBdr>
    </w:div>
    <w:div w:id="413476927">
      <w:bodyDiv w:val="1"/>
      <w:marLeft w:val="0"/>
      <w:marRight w:val="0"/>
      <w:marTop w:val="0"/>
      <w:marBottom w:val="0"/>
      <w:divBdr>
        <w:top w:val="none" w:sz="0" w:space="0" w:color="auto"/>
        <w:left w:val="none" w:sz="0" w:space="0" w:color="auto"/>
        <w:bottom w:val="none" w:sz="0" w:space="0" w:color="auto"/>
        <w:right w:val="none" w:sz="0" w:space="0" w:color="auto"/>
      </w:divBdr>
    </w:div>
    <w:div w:id="414980526">
      <w:bodyDiv w:val="1"/>
      <w:marLeft w:val="0"/>
      <w:marRight w:val="0"/>
      <w:marTop w:val="0"/>
      <w:marBottom w:val="0"/>
      <w:divBdr>
        <w:top w:val="none" w:sz="0" w:space="0" w:color="auto"/>
        <w:left w:val="none" w:sz="0" w:space="0" w:color="auto"/>
        <w:bottom w:val="none" w:sz="0" w:space="0" w:color="auto"/>
        <w:right w:val="none" w:sz="0" w:space="0" w:color="auto"/>
      </w:divBdr>
    </w:div>
    <w:div w:id="467863546">
      <w:bodyDiv w:val="1"/>
      <w:marLeft w:val="0"/>
      <w:marRight w:val="0"/>
      <w:marTop w:val="0"/>
      <w:marBottom w:val="0"/>
      <w:divBdr>
        <w:top w:val="none" w:sz="0" w:space="0" w:color="auto"/>
        <w:left w:val="none" w:sz="0" w:space="0" w:color="auto"/>
        <w:bottom w:val="none" w:sz="0" w:space="0" w:color="auto"/>
        <w:right w:val="none" w:sz="0" w:space="0" w:color="auto"/>
      </w:divBdr>
    </w:div>
    <w:div w:id="473176876">
      <w:bodyDiv w:val="1"/>
      <w:marLeft w:val="0"/>
      <w:marRight w:val="0"/>
      <w:marTop w:val="0"/>
      <w:marBottom w:val="0"/>
      <w:divBdr>
        <w:top w:val="none" w:sz="0" w:space="0" w:color="auto"/>
        <w:left w:val="none" w:sz="0" w:space="0" w:color="auto"/>
        <w:bottom w:val="none" w:sz="0" w:space="0" w:color="auto"/>
        <w:right w:val="none" w:sz="0" w:space="0" w:color="auto"/>
      </w:divBdr>
    </w:div>
    <w:div w:id="474763997">
      <w:bodyDiv w:val="1"/>
      <w:marLeft w:val="0"/>
      <w:marRight w:val="0"/>
      <w:marTop w:val="0"/>
      <w:marBottom w:val="0"/>
      <w:divBdr>
        <w:top w:val="none" w:sz="0" w:space="0" w:color="auto"/>
        <w:left w:val="none" w:sz="0" w:space="0" w:color="auto"/>
        <w:bottom w:val="none" w:sz="0" w:space="0" w:color="auto"/>
        <w:right w:val="none" w:sz="0" w:space="0" w:color="auto"/>
      </w:divBdr>
    </w:div>
    <w:div w:id="530413062">
      <w:bodyDiv w:val="1"/>
      <w:marLeft w:val="0"/>
      <w:marRight w:val="0"/>
      <w:marTop w:val="0"/>
      <w:marBottom w:val="0"/>
      <w:divBdr>
        <w:top w:val="none" w:sz="0" w:space="0" w:color="auto"/>
        <w:left w:val="none" w:sz="0" w:space="0" w:color="auto"/>
        <w:bottom w:val="none" w:sz="0" w:space="0" w:color="auto"/>
        <w:right w:val="none" w:sz="0" w:space="0" w:color="auto"/>
      </w:divBdr>
    </w:div>
    <w:div w:id="587226487">
      <w:bodyDiv w:val="1"/>
      <w:marLeft w:val="0"/>
      <w:marRight w:val="0"/>
      <w:marTop w:val="0"/>
      <w:marBottom w:val="0"/>
      <w:divBdr>
        <w:top w:val="none" w:sz="0" w:space="0" w:color="auto"/>
        <w:left w:val="none" w:sz="0" w:space="0" w:color="auto"/>
        <w:bottom w:val="none" w:sz="0" w:space="0" w:color="auto"/>
        <w:right w:val="none" w:sz="0" w:space="0" w:color="auto"/>
      </w:divBdr>
    </w:div>
    <w:div w:id="589654775">
      <w:bodyDiv w:val="1"/>
      <w:marLeft w:val="0"/>
      <w:marRight w:val="0"/>
      <w:marTop w:val="0"/>
      <w:marBottom w:val="0"/>
      <w:divBdr>
        <w:top w:val="none" w:sz="0" w:space="0" w:color="auto"/>
        <w:left w:val="none" w:sz="0" w:space="0" w:color="auto"/>
        <w:bottom w:val="none" w:sz="0" w:space="0" w:color="auto"/>
        <w:right w:val="none" w:sz="0" w:space="0" w:color="auto"/>
      </w:divBdr>
    </w:div>
    <w:div w:id="594674539">
      <w:bodyDiv w:val="1"/>
      <w:marLeft w:val="0"/>
      <w:marRight w:val="0"/>
      <w:marTop w:val="0"/>
      <w:marBottom w:val="0"/>
      <w:divBdr>
        <w:top w:val="none" w:sz="0" w:space="0" w:color="auto"/>
        <w:left w:val="none" w:sz="0" w:space="0" w:color="auto"/>
        <w:bottom w:val="none" w:sz="0" w:space="0" w:color="auto"/>
        <w:right w:val="none" w:sz="0" w:space="0" w:color="auto"/>
      </w:divBdr>
    </w:div>
    <w:div w:id="615912011">
      <w:bodyDiv w:val="1"/>
      <w:marLeft w:val="0"/>
      <w:marRight w:val="0"/>
      <w:marTop w:val="0"/>
      <w:marBottom w:val="0"/>
      <w:divBdr>
        <w:top w:val="none" w:sz="0" w:space="0" w:color="auto"/>
        <w:left w:val="none" w:sz="0" w:space="0" w:color="auto"/>
        <w:bottom w:val="none" w:sz="0" w:space="0" w:color="auto"/>
        <w:right w:val="none" w:sz="0" w:space="0" w:color="auto"/>
      </w:divBdr>
    </w:div>
    <w:div w:id="622200801">
      <w:bodyDiv w:val="1"/>
      <w:marLeft w:val="0"/>
      <w:marRight w:val="0"/>
      <w:marTop w:val="0"/>
      <w:marBottom w:val="0"/>
      <w:divBdr>
        <w:top w:val="none" w:sz="0" w:space="0" w:color="auto"/>
        <w:left w:val="none" w:sz="0" w:space="0" w:color="auto"/>
        <w:bottom w:val="none" w:sz="0" w:space="0" w:color="auto"/>
        <w:right w:val="none" w:sz="0" w:space="0" w:color="auto"/>
      </w:divBdr>
    </w:div>
    <w:div w:id="697315036">
      <w:bodyDiv w:val="1"/>
      <w:marLeft w:val="0"/>
      <w:marRight w:val="0"/>
      <w:marTop w:val="0"/>
      <w:marBottom w:val="0"/>
      <w:divBdr>
        <w:top w:val="none" w:sz="0" w:space="0" w:color="auto"/>
        <w:left w:val="none" w:sz="0" w:space="0" w:color="auto"/>
        <w:bottom w:val="none" w:sz="0" w:space="0" w:color="auto"/>
        <w:right w:val="none" w:sz="0" w:space="0" w:color="auto"/>
      </w:divBdr>
    </w:div>
    <w:div w:id="740522521">
      <w:bodyDiv w:val="1"/>
      <w:marLeft w:val="0"/>
      <w:marRight w:val="0"/>
      <w:marTop w:val="0"/>
      <w:marBottom w:val="0"/>
      <w:divBdr>
        <w:top w:val="none" w:sz="0" w:space="0" w:color="auto"/>
        <w:left w:val="none" w:sz="0" w:space="0" w:color="auto"/>
        <w:bottom w:val="none" w:sz="0" w:space="0" w:color="auto"/>
        <w:right w:val="none" w:sz="0" w:space="0" w:color="auto"/>
      </w:divBdr>
    </w:div>
    <w:div w:id="752358574">
      <w:bodyDiv w:val="1"/>
      <w:marLeft w:val="0"/>
      <w:marRight w:val="0"/>
      <w:marTop w:val="0"/>
      <w:marBottom w:val="0"/>
      <w:divBdr>
        <w:top w:val="none" w:sz="0" w:space="0" w:color="auto"/>
        <w:left w:val="none" w:sz="0" w:space="0" w:color="auto"/>
        <w:bottom w:val="none" w:sz="0" w:space="0" w:color="auto"/>
        <w:right w:val="none" w:sz="0" w:space="0" w:color="auto"/>
      </w:divBdr>
    </w:div>
    <w:div w:id="843472994">
      <w:bodyDiv w:val="1"/>
      <w:marLeft w:val="0"/>
      <w:marRight w:val="0"/>
      <w:marTop w:val="0"/>
      <w:marBottom w:val="0"/>
      <w:divBdr>
        <w:top w:val="none" w:sz="0" w:space="0" w:color="auto"/>
        <w:left w:val="none" w:sz="0" w:space="0" w:color="auto"/>
        <w:bottom w:val="none" w:sz="0" w:space="0" w:color="auto"/>
        <w:right w:val="none" w:sz="0" w:space="0" w:color="auto"/>
      </w:divBdr>
    </w:div>
    <w:div w:id="846943369">
      <w:bodyDiv w:val="1"/>
      <w:marLeft w:val="0"/>
      <w:marRight w:val="0"/>
      <w:marTop w:val="0"/>
      <w:marBottom w:val="0"/>
      <w:divBdr>
        <w:top w:val="none" w:sz="0" w:space="0" w:color="auto"/>
        <w:left w:val="none" w:sz="0" w:space="0" w:color="auto"/>
        <w:bottom w:val="none" w:sz="0" w:space="0" w:color="auto"/>
        <w:right w:val="none" w:sz="0" w:space="0" w:color="auto"/>
      </w:divBdr>
    </w:div>
    <w:div w:id="929581071">
      <w:bodyDiv w:val="1"/>
      <w:marLeft w:val="0"/>
      <w:marRight w:val="0"/>
      <w:marTop w:val="0"/>
      <w:marBottom w:val="0"/>
      <w:divBdr>
        <w:top w:val="none" w:sz="0" w:space="0" w:color="auto"/>
        <w:left w:val="none" w:sz="0" w:space="0" w:color="auto"/>
        <w:bottom w:val="none" w:sz="0" w:space="0" w:color="auto"/>
        <w:right w:val="none" w:sz="0" w:space="0" w:color="auto"/>
      </w:divBdr>
      <w:divsChild>
        <w:div w:id="625282307">
          <w:marLeft w:val="0"/>
          <w:marRight w:val="0"/>
          <w:marTop w:val="0"/>
          <w:marBottom w:val="0"/>
          <w:divBdr>
            <w:top w:val="none" w:sz="0" w:space="0" w:color="auto"/>
            <w:left w:val="none" w:sz="0" w:space="0" w:color="auto"/>
            <w:bottom w:val="none" w:sz="0" w:space="0" w:color="auto"/>
            <w:right w:val="none" w:sz="0" w:space="0" w:color="auto"/>
          </w:divBdr>
          <w:divsChild>
            <w:div w:id="646054379">
              <w:marLeft w:val="0"/>
              <w:marRight w:val="0"/>
              <w:marTop w:val="0"/>
              <w:marBottom w:val="0"/>
              <w:divBdr>
                <w:top w:val="none" w:sz="0" w:space="0" w:color="auto"/>
                <w:left w:val="none" w:sz="0" w:space="0" w:color="auto"/>
                <w:bottom w:val="none" w:sz="0" w:space="0" w:color="auto"/>
                <w:right w:val="none" w:sz="0" w:space="0" w:color="auto"/>
              </w:divBdr>
              <w:divsChild>
                <w:div w:id="125240411">
                  <w:marLeft w:val="0"/>
                  <w:marRight w:val="0"/>
                  <w:marTop w:val="0"/>
                  <w:marBottom w:val="0"/>
                  <w:divBdr>
                    <w:top w:val="none" w:sz="0" w:space="0" w:color="auto"/>
                    <w:left w:val="none" w:sz="0" w:space="0" w:color="auto"/>
                    <w:bottom w:val="none" w:sz="0" w:space="0" w:color="auto"/>
                    <w:right w:val="none" w:sz="0" w:space="0" w:color="auto"/>
                  </w:divBdr>
                  <w:divsChild>
                    <w:div w:id="75978271">
                      <w:marLeft w:val="0"/>
                      <w:marRight w:val="0"/>
                      <w:marTop w:val="0"/>
                      <w:marBottom w:val="0"/>
                      <w:divBdr>
                        <w:top w:val="none" w:sz="0" w:space="0" w:color="auto"/>
                        <w:left w:val="none" w:sz="0" w:space="0" w:color="auto"/>
                        <w:bottom w:val="none" w:sz="0" w:space="0" w:color="auto"/>
                        <w:right w:val="none" w:sz="0" w:space="0" w:color="auto"/>
                      </w:divBdr>
                      <w:divsChild>
                        <w:div w:id="2133287583">
                          <w:marLeft w:val="0"/>
                          <w:marRight w:val="0"/>
                          <w:marTop w:val="50"/>
                          <w:marBottom w:val="0"/>
                          <w:divBdr>
                            <w:top w:val="none" w:sz="0" w:space="0" w:color="auto"/>
                            <w:left w:val="none" w:sz="0" w:space="0" w:color="auto"/>
                            <w:bottom w:val="none" w:sz="0" w:space="0" w:color="auto"/>
                            <w:right w:val="none" w:sz="0" w:space="0" w:color="auto"/>
                          </w:divBdr>
                          <w:divsChild>
                            <w:div w:id="485126722">
                              <w:marLeft w:val="2311"/>
                              <w:marRight w:val="4253"/>
                              <w:marTop w:val="0"/>
                              <w:marBottom w:val="0"/>
                              <w:divBdr>
                                <w:top w:val="none" w:sz="0" w:space="0" w:color="auto"/>
                                <w:left w:val="none" w:sz="0" w:space="0" w:color="auto"/>
                                <w:bottom w:val="none" w:sz="0" w:space="0" w:color="auto"/>
                                <w:right w:val="none" w:sz="0" w:space="0" w:color="auto"/>
                              </w:divBdr>
                              <w:divsChild>
                                <w:div w:id="172578476">
                                  <w:marLeft w:val="0"/>
                                  <w:marRight w:val="0"/>
                                  <w:marTop w:val="0"/>
                                  <w:marBottom w:val="0"/>
                                  <w:divBdr>
                                    <w:top w:val="none" w:sz="0" w:space="0" w:color="auto"/>
                                    <w:left w:val="none" w:sz="0" w:space="0" w:color="auto"/>
                                    <w:bottom w:val="none" w:sz="0" w:space="0" w:color="auto"/>
                                    <w:right w:val="none" w:sz="0" w:space="0" w:color="auto"/>
                                  </w:divBdr>
                                  <w:divsChild>
                                    <w:div w:id="1993486009">
                                      <w:marLeft w:val="0"/>
                                      <w:marRight w:val="0"/>
                                      <w:marTop w:val="0"/>
                                      <w:marBottom w:val="0"/>
                                      <w:divBdr>
                                        <w:top w:val="none" w:sz="0" w:space="0" w:color="auto"/>
                                        <w:left w:val="none" w:sz="0" w:space="0" w:color="auto"/>
                                        <w:bottom w:val="none" w:sz="0" w:space="0" w:color="auto"/>
                                        <w:right w:val="none" w:sz="0" w:space="0" w:color="auto"/>
                                      </w:divBdr>
                                      <w:divsChild>
                                        <w:div w:id="1074426391">
                                          <w:marLeft w:val="0"/>
                                          <w:marRight w:val="0"/>
                                          <w:marTop w:val="0"/>
                                          <w:marBottom w:val="0"/>
                                          <w:divBdr>
                                            <w:top w:val="none" w:sz="0" w:space="0" w:color="auto"/>
                                            <w:left w:val="none" w:sz="0" w:space="0" w:color="auto"/>
                                            <w:bottom w:val="none" w:sz="0" w:space="0" w:color="auto"/>
                                            <w:right w:val="none" w:sz="0" w:space="0" w:color="auto"/>
                                          </w:divBdr>
                                          <w:divsChild>
                                            <w:div w:id="1984386886">
                                              <w:marLeft w:val="0"/>
                                              <w:marRight w:val="0"/>
                                              <w:marTop w:val="0"/>
                                              <w:marBottom w:val="0"/>
                                              <w:divBdr>
                                                <w:top w:val="none" w:sz="0" w:space="0" w:color="auto"/>
                                                <w:left w:val="none" w:sz="0" w:space="0" w:color="auto"/>
                                                <w:bottom w:val="none" w:sz="0" w:space="0" w:color="auto"/>
                                                <w:right w:val="none" w:sz="0" w:space="0" w:color="auto"/>
                                              </w:divBdr>
                                              <w:divsChild>
                                                <w:div w:id="304162468">
                                                  <w:marLeft w:val="0"/>
                                                  <w:marRight w:val="0"/>
                                                  <w:marTop w:val="0"/>
                                                  <w:marBottom w:val="0"/>
                                                  <w:divBdr>
                                                    <w:top w:val="none" w:sz="0" w:space="0" w:color="auto"/>
                                                    <w:left w:val="none" w:sz="0" w:space="0" w:color="auto"/>
                                                    <w:bottom w:val="none" w:sz="0" w:space="0" w:color="auto"/>
                                                    <w:right w:val="none" w:sz="0" w:space="0" w:color="auto"/>
                                                  </w:divBdr>
                                                  <w:divsChild>
                                                    <w:div w:id="52606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56302242">
      <w:bodyDiv w:val="1"/>
      <w:marLeft w:val="0"/>
      <w:marRight w:val="0"/>
      <w:marTop w:val="0"/>
      <w:marBottom w:val="0"/>
      <w:divBdr>
        <w:top w:val="none" w:sz="0" w:space="0" w:color="auto"/>
        <w:left w:val="none" w:sz="0" w:space="0" w:color="auto"/>
        <w:bottom w:val="none" w:sz="0" w:space="0" w:color="auto"/>
        <w:right w:val="none" w:sz="0" w:space="0" w:color="auto"/>
      </w:divBdr>
    </w:div>
    <w:div w:id="976227840">
      <w:bodyDiv w:val="1"/>
      <w:marLeft w:val="0"/>
      <w:marRight w:val="0"/>
      <w:marTop w:val="0"/>
      <w:marBottom w:val="0"/>
      <w:divBdr>
        <w:top w:val="none" w:sz="0" w:space="0" w:color="auto"/>
        <w:left w:val="none" w:sz="0" w:space="0" w:color="auto"/>
        <w:bottom w:val="none" w:sz="0" w:space="0" w:color="auto"/>
        <w:right w:val="none" w:sz="0" w:space="0" w:color="auto"/>
      </w:divBdr>
    </w:div>
    <w:div w:id="979456409">
      <w:bodyDiv w:val="1"/>
      <w:marLeft w:val="0"/>
      <w:marRight w:val="0"/>
      <w:marTop w:val="0"/>
      <w:marBottom w:val="0"/>
      <w:divBdr>
        <w:top w:val="none" w:sz="0" w:space="0" w:color="auto"/>
        <w:left w:val="none" w:sz="0" w:space="0" w:color="auto"/>
        <w:bottom w:val="none" w:sz="0" w:space="0" w:color="auto"/>
        <w:right w:val="none" w:sz="0" w:space="0" w:color="auto"/>
      </w:divBdr>
    </w:div>
    <w:div w:id="999768834">
      <w:bodyDiv w:val="1"/>
      <w:marLeft w:val="0"/>
      <w:marRight w:val="0"/>
      <w:marTop w:val="0"/>
      <w:marBottom w:val="0"/>
      <w:divBdr>
        <w:top w:val="none" w:sz="0" w:space="0" w:color="auto"/>
        <w:left w:val="none" w:sz="0" w:space="0" w:color="auto"/>
        <w:bottom w:val="none" w:sz="0" w:space="0" w:color="auto"/>
        <w:right w:val="none" w:sz="0" w:space="0" w:color="auto"/>
      </w:divBdr>
    </w:div>
    <w:div w:id="1051075379">
      <w:bodyDiv w:val="1"/>
      <w:marLeft w:val="0"/>
      <w:marRight w:val="0"/>
      <w:marTop w:val="0"/>
      <w:marBottom w:val="0"/>
      <w:divBdr>
        <w:top w:val="none" w:sz="0" w:space="0" w:color="auto"/>
        <w:left w:val="none" w:sz="0" w:space="0" w:color="auto"/>
        <w:bottom w:val="none" w:sz="0" w:space="0" w:color="auto"/>
        <w:right w:val="none" w:sz="0" w:space="0" w:color="auto"/>
      </w:divBdr>
    </w:div>
    <w:div w:id="1074357204">
      <w:bodyDiv w:val="1"/>
      <w:marLeft w:val="0"/>
      <w:marRight w:val="0"/>
      <w:marTop w:val="0"/>
      <w:marBottom w:val="0"/>
      <w:divBdr>
        <w:top w:val="none" w:sz="0" w:space="0" w:color="auto"/>
        <w:left w:val="none" w:sz="0" w:space="0" w:color="auto"/>
        <w:bottom w:val="none" w:sz="0" w:space="0" w:color="auto"/>
        <w:right w:val="none" w:sz="0" w:space="0" w:color="auto"/>
      </w:divBdr>
    </w:div>
    <w:div w:id="1097796761">
      <w:bodyDiv w:val="1"/>
      <w:marLeft w:val="0"/>
      <w:marRight w:val="0"/>
      <w:marTop w:val="0"/>
      <w:marBottom w:val="0"/>
      <w:divBdr>
        <w:top w:val="none" w:sz="0" w:space="0" w:color="auto"/>
        <w:left w:val="none" w:sz="0" w:space="0" w:color="auto"/>
        <w:bottom w:val="none" w:sz="0" w:space="0" w:color="auto"/>
        <w:right w:val="none" w:sz="0" w:space="0" w:color="auto"/>
      </w:divBdr>
    </w:div>
    <w:div w:id="1180703453">
      <w:bodyDiv w:val="1"/>
      <w:marLeft w:val="0"/>
      <w:marRight w:val="0"/>
      <w:marTop w:val="0"/>
      <w:marBottom w:val="0"/>
      <w:divBdr>
        <w:top w:val="none" w:sz="0" w:space="0" w:color="auto"/>
        <w:left w:val="none" w:sz="0" w:space="0" w:color="auto"/>
        <w:bottom w:val="none" w:sz="0" w:space="0" w:color="auto"/>
        <w:right w:val="none" w:sz="0" w:space="0" w:color="auto"/>
      </w:divBdr>
    </w:div>
    <w:div w:id="1189678859">
      <w:bodyDiv w:val="1"/>
      <w:marLeft w:val="0"/>
      <w:marRight w:val="0"/>
      <w:marTop w:val="0"/>
      <w:marBottom w:val="0"/>
      <w:divBdr>
        <w:top w:val="none" w:sz="0" w:space="0" w:color="auto"/>
        <w:left w:val="none" w:sz="0" w:space="0" w:color="auto"/>
        <w:bottom w:val="none" w:sz="0" w:space="0" w:color="auto"/>
        <w:right w:val="none" w:sz="0" w:space="0" w:color="auto"/>
      </w:divBdr>
    </w:div>
    <w:div w:id="1194229376">
      <w:bodyDiv w:val="1"/>
      <w:marLeft w:val="0"/>
      <w:marRight w:val="0"/>
      <w:marTop w:val="0"/>
      <w:marBottom w:val="0"/>
      <w:divBdr>
        <w:top w:val="none" w:sz="0" w:space="0" w:color="auto"/>
        <w:left w:val="none" w:sz="0" w:space="0" w:color="auto"/>
        <w:bottom w:val="none" w:sz="0" w:space="0" w:color="auto"/>
        <w:right w:val="none" w:sz="0" w:space="0" w:color="auto"/>
      </w:divBdr>
    </w:div>
    <w:div w:id="1257405168">
      <w:bodyDiv w:val="1"/>
      <w:marLeft w:val="0"/>
      <w:marRight w:val="0"/>
      <w:marTop w:val="0"/>
      <w:marBottom w:val="0"/>
      <w:divBdr>
        <w:top w:val="none" w:sz="0" w:space="0" w:color="auto"/>
        <w:left w:val="none" w:sz="0" w:space="0" w:color="auto"/>
        <w:bottom w:val="none" w:sz="0" w:space="0" w:color="auto"/>
        <w:right w:val="none" w:sz="0" w:space="0" w:color="auto"/>
      </w:divBdr>
    </w:div>
    <w:div w:id="1266765214">
      <w:bodyDiv w:val="1"/>
      <w:marLeft w:val="0"/>
      <w:marRight w:val="0"/>
      <w:marTop w:val="0"/>
      <w:marBottom w:val="0"/>
      <w:divBdr>
        <w:top w:val="none" w:sz="0" w:space="0" w:color="auto"/>
        <w:left w:val="none" w:sz="0" w:space="0" w:color="auto"/>
        <w:bottom w:val="none" w:sz="0" w:space="0" w:color="auto"/>
        <w:right w:val="none" w:sz="0" w:space="0" w:color="auto"/>
      </w:divBdr>
    </w:div>
    <w:div w:id="1289623973">
      <w:bodyDiv w:val="1"/>
      <w:marLeft w:val="0"/>
      <w:marRight w:val="0"/>
      <w:marTop w:val="0"/>
      <w:marBottom w:val="0"/>
      <w:divBdr>
        <w:top w:val="none" w:sz="0" w:space="0" w:color="auto"/>
        <w:left w:val="none" w:sz="0" w:space="0" w:color="auto"/>
        <w:bottom w:val="none" w:sz="0" w:space="0" w:color="auto"/>
        <w:right w:val="none" w:sz="0" w:space="0" w:color="auto"/>
      </w:divBdr>
    </w:div>
    <w:div w:id="1289817751">
      <w:bodyDiv w:val="1"/>
      <w:marLeft w:val="0"/>
      <w:marRight w:val="0"/>
      <w:marTop w:val="0"/>
      <w:marBottom w:val="0"/>
      <w:divBdr>
        <w:top w:val="none" w:sz="0" w:space="0" w:color="auto"/>
        <w:left w:val="none" w:sz="0" w:space="0" w:color="auto"/>
        <w:bottom w:val="none" w:sz="0" w:space="0" w:color="auto"/>
        <w:right w:val="none" w:sz="0" w:space="0" w:color="auto"/>
      </w:divBdr>
    </w:div>
    <w:div w:id="1408915194">
      <w:bodyDiv w:val="1"/>
      <w:marLeft w:val="0"/>
      <w:marRight w:val="0"/>
      <w:marTop w:val="0"/>
      <w:marBottom w:val="0"/>
      <w:divBdr>
        <w:top w:val="none" w:sz="0" w:space="0" w:color="auto"/>
        <w:left w:val="none" w:sz="0" w:space="0" w:color="auto"/>
        <w:bottom w:val="none" w:sz="0" w:space="0" w:color="auto"/>
        <w:right w:val="none" w:sz="0" w:space="0" w:color="auto"/>
      </w:divBdr>
    </w:div>
    <w:div w:id="1590968062">
      <w:bodyDiv w:val="1"/>
      <w:marLeft w:val="0"/>
      <w:marRight w:val="0"/>
      <w:marTop w:val="0"/>
      <w:marBottom w:val="0"/>
      <w:divBdr>
        <w:top w:val="none" w:sz="0" w:space="0" w:color="auto"/>
        <w:left w:val="none" w:sz="0" w:space="0" w:color="auto"/>
        <w:bottom w:val="none" w:sz="0" w:space="0" w:color="auto"/>
        <w:right w:val="none" w:sz="0" w:space="0" w:color="auto"/>
      </w:divBdr>
    </w:div>
    <w:div w:id="1592928545">
      <w:bodyDiv w:val="1"/>
      <w:marLeft w:val="0"/>
      <w:marRight w:val="0"/>
      <w:marTop w:val="0"/>
      <w:marBottom w:val="0"/>
      <w:divBdr>
        <w:top w:val="none" w:sz="0" w:space="0" w:color="auto"/>
        <w:left w:val="none" w:sz="0" w:space="0" w:color="auto"/>
        <w:bottom w:val="none" w:sz="0" w:space="0" w:color="auto"/>
        <w:right w:val="none" w:sz="0" w:space="0" w:color="auto"/>
      </w:divBdr>
    </w:div>
    <w:div w:id="1600140330">
      <w:bodyDiv w:val="1"/>
      <w:marLeft w:val="0"/>
      <w:marRight w:val="0"/>
      <w:marTop w:val="0"/>
      <w:marBottom w:val="0"/>
      <w:divBdr>
        <w:top w:val="none" w:sz="0" w:space="0" w:color="auto"/>
        <w:left w:val="none" w:sz="0" w:space="0" w:color="auto"/>
        <w:bottom w:val="none" w:sz="0" w:space="0" w:color="auto"/>
        <w:right w:val="none" w:sz="0" w:space="0" w:color="auto"/>
      </w:divBdr>
    </w:div>
    <w:div w:id="1609313236">
      <w:bodyDiv w:val="1"/>
      <w:marLeft w:val="0"/>
      <w:marRight w:val="0"/>
      <w:marTop w:val="0"/>
      <w:marBottom w:val="0"/>
      <w:divBdr>
        <w:top w:val="none" w:sz="0" w:space="0" w:color="auto"/>
        <w:left w:val="none" w:sz="0" w:space="0" w:color="auto"/>
        <w:bottom w:val="none" w:sz="0" w:space="0" w:color="auto"/>
        <w:right w:val="none" w:sz="0" w:space="0" w:color="auto"/>
      </w:divBdr>
    </w:div>
    <w:div w:id="1613438386">
      <w:bodyDiv w:val="1"/>
      <w:marLeft w:val="0"/>
      <w:marRight w:val="0"/>
      <w:marTop w:val="0"/>
      <w:marBottom w:val="0"/>
      <w:divBdr>
        <w:top w:val="none" w:sz="0" w:space="0" w:color="auto"/>
        <w:left w:val="none" w:sz="0" w:space="0" w:color="auto"/>
        <w:bottom w:val="none" w:sz="0" w:space="0" w:color="auto"/>
        <w:right w:val="none" w:sz="0" w:space="0" w:color="auto"/>
      </w:divBdr>
    </w:div>
    <w:div w:id="1632468886">
      <w:bodyDiv w:val="1"/>
      <w:marLeft w:val="0"/>
      <w:marRight w:val="0"/>
      <w:marTop w:val="0"/>
      <w:marBottom w:val="0"/>
      <w:divBdr>
        <w:top w:val="none" w:sz="0" w:space="0" w:color="auto"/>
        <w:left w:val="none" w:sz="0" w:space="0" w:color="auto"/>
        <w:bottom w:val="none" w:sz="0" w:space="0" w:color="auto"/>
        <w:right w:val="none" w:sz="0" w:space="0" w:color="auto"/>
      </w:divBdr>
    </w:div>
    <w:div w:id="1641232848">
      <w:bodyDiv w:val="1"/>
      <w:marLeft w:val="0"/>
      <w:marRight w:val="0"/>
      <w:marTop w:val="0"/>
      <w:marBottom w:val="0"/>
      <w:divBdr>
        <w:top w:val="none" w:sz="0" w:space="0" w:color="auto"/>
        <w:left w:val="none" w:sz="0" w:space="0" w:color="auto"/>
        <w:bottom w:val="none" w:sz="0" w:space="0" w:color="auto"/>
        <w:right w:val="none" w:sz="0" w:space="0" w:color="auto"/>
      </w:divBdr>
      <w:divsChild>
        <w:div w:id="138038530">
          <w:marLeft w:val="0"/>
          <w:marRight w:val="0"/>
          <w:marTop w:val="0"/>
          <w:marBottom w:val="0"/>
          <w:divBdr>
            <w:top w:val="single" w:sz="4" w:space="0" w:color="033668"/>
            <w:left w:val="single" w:sz="4" w:space="0" w:color="033668"/>
            <w:bottom w:val="single" w:sz="4" w:space="0" w:color="033668"/>
            <w:right w:val="single" w:sz="4" w:space="0" w:color="033668"/>
          </w:divBdr>
          <w:divsChild>
            <w:div w:id="1788575102">
              <w:marLeft w:val="0"/>
              <w:marRight w:val="0"/>
              <w:marTop w:val="0"/>
              <w:marBottom w:val="0"/>
              <w:divBdr>
                <w:top w:val="none" w:sz="0" w:space="0" w:color="auto"/>
                <w:left w:val="none" w:sz="0" w:space="0" w:color="auto"/>
                <w:bottom w:val="none" w:sz="0" w:space="0" w:color="auto"/>
                <w:right w:val="none" w:sz="0" w:space="0" w:color="auto"/>
              </w:divBdr>
              <w:divsChild>
                <w:div w:id="769862655">
                  <w:marLeft w:val="0"/>
                  <w:marRight w:val="0"/>
                  <w:marTop w:val="0"/>
                  <w:marBottom w:val="0"/>
                  <w:divBdr>
                    <w:top w:val="none" w:sz="0" w:space="0" w:color="auto"/>
                    <w:left w:val="none" w:sz="0" w:space="0" w:color="auto"/>
                    <w:bottom w:val="none" w:sz="0" w:space="0" w:color="auto"/>
                    <w:right w:val="none" w:sz="0" w:space="0" w:color="auto"/>
                  </w:divBdr>
                  <w:divsChild>
                    <w:div w:id="22580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052088">
      <w:bodyDiv w:val="1"/>
      <w:marLeft w:val="0"/>
      <w:marRight w:val="0"/>
      <w:marTop w:val="0"/>
      <w:marBottom w:val="0"/>
      <w:divBdr>
        <w:top w:val="none" w:sz="0" w:space="0" w:color="auto"/>
        <w:left w:val="none" w:sz="0" w:space="0" w:color="auto"/>
        <w:bottom w:val="none" w:sz="0" w:space="0" w:color="auto"/>
        <w:right w:val="none" w:sz="0" w:space="0" w:color="auto"/>
      </w:divBdr>
    </w:div>
    <w:div w:id="1727681907">
      <w:bodyDiv w:val="1"/>
      <w:marLeft w:val="0"/>
      <w:marRight w:val="0"/>
      <w:marTop w:val="0"/>
      <w:marBottom w:val="0"/>
      <w:divBdr>
        <w:top w:val="none" w:sz="0" w:space="0" w:color="auto"/>
        <w:left w:val="none" w:sz="0" w:space="0" w:color="auto"/>
        <w:bottom w:val="none" w:sz="0" w:space="0" w:color="auto"/>
        <w:right w:val="none" w:sz="0" w:space="0" w:color="auto"/>
      </w:divBdr>
    </w:div>
    <w:div w:id="1730036007">
      <w:bodyDiv w:val="1"/>
      <w:marLeft w:val="0"/>
      <w:marRight w:val="0"/>
      <w:marTop w:val="0"/>
      <w:marBottom w:val="0"/>
      <w:divBdr>
        <w:top w:val="none" w:sz="0" w:space="0" w:color="auto"/>
        <w:left w:val="none" w:sz="0" w:space="0" w:color="auto"/>
        <w:bottom w:val="none" w:sz="0" w:space="0" w:color="auto"/>
        <w:right w:val="none" w:sz="0" w:space="0" w:color="auto"/>
      </w:divBdr>
    </w:div>
    <w:div w:id="1740783986">
      <w:bodyDiv w:val="1"/>
      <w:marLeft w:val="0"/>
      <w:marRight w:val="0"/>
      <w:marTop w:val="0"/>
      <w:marBottom w:val="0"/>
      <w:divBdr>
        <w:top w:val="none" w:sz="0" w:space="0" w:color="auto"/>
        <w:left w:val="none" w:sz="0" w:space="0" w:color="auto"/>
        <w:bottom w:val="none" w:sz="0" w:space="0" w:color="auto"/>
        <w:right w:val="none" w:sz="0" w:space="0" w:color="auto"/>
      </w:divBdr>
    </w:div>
    <w:div w:id="1771310714">
      <w:bodyDiv w:val="1"/>
      <w:marLeft w:val="0"/>
      <w:marRight w:val="0"/>
      <w:marTop w:val="0"/>
      <w:marBottom w:val="0"/>
      <w:divBdr>
        <w:top w:val="none" w:sz="0" w:space="0" w:color="auto"/>
        <w:left w:val="none" w:sz="0" w:space="0" w:color="auto"/>
        <w:bottom w:val="none" w:sz="0" w:space="0" w:color="auto"/>
        <w:right w:val="none" w:sz="0" w:space="0" w:color="auto"/>
      </w:divBdr>
    </w:div>
    <w:div w:id="1787236058">
      <w:bodyDiv w:val="1"/>
      <w:marLeft w:val="0"/>
      <w:marRight w:val="0"/>
      <w:marTop w:val="0"/>
      <w:marBottom w:val="0"/>
      <w:divBdr>
        <w:top w:val="none" w:sz="0" w:space="0" w:color="auto"/>
        <w:left w:val="none" w:sz="0" w:space="0" w:color="auto"/>
        <w:bottom w:val="none" w:sz="0" w:space="0" w:color="auto"/>
        <w:right w:val="none" w:sz="0" w:space="0" w:color="auto"/>
      </w:divBdr>
    </w:div>
    <w:div w:id="1815222532">
      <w:bodyDiv w:val="1"/>
      <w:marLeft w:val="0"/>
      <w:marRight w:val="0"/>
      <w:marTop w:val="0"/>
      <w:marBottom w:val="0"/>
      <w:divBdr>
        <w:top w:val="none" w:sz="0" w:space="0" w:color="auto"/>
        <w:left w:val="none" w:sz="0" w:space="0" w:color="auto"/>
        <w:bottom w:val="none" w:sz="0" w:space="0" w:color="auto"/>
        <w:right w:val="none" w:sz="0" w:space="0" w:color="auto"/>
      </w:divBdr>
    </w:div>
    <w:div w:id="1939680436">
      <w:bodyDiv w:val="1"/>
      <w:marLeft w:val="0"/>
      <w:marRight w:val="0"/>
      <w:marTop w:val="0"/>
      <w:marBottom w:val="0"/>
      <w:divBdr>
        <w:top w:val="none" w:sz="0" w:space="0" w:color="auto"/>
        <w:left w:val="none" w:sz="0" w:space="0" w:color="auto"/>
        <w:bottom w:val="none" w:sz="0" w:space="0" w:color="auto"/>
        <w:right w:val="none" w:sz="0" w:space="0" w:color="auto"/>
      </w:divBdr>
    </w:div>
    <w:div w:id="1972589291">
      <w:bodyDiv w:val="1"/>
      <w:marLeft w:val="0"/>
      <w:marRight w:val="0"/>
      <w:marTop w:val="0"/>
      <w:marBottom w:val="0"/>
      <w:divBdr>
        <w:top w:val="none" w:sz="0" w:space="0" w:color="auto"/>
        <w:left w:val="none" w:sz="0" w:space="0" w:color="auto"/>
        <w:bottom w:val="none" w:sz="0" w:space="0" w:color="auto"/>
        <w:right w:val="none" w:sz="0" w:space="0" w:color="auto"/>
      </w:divBdr>
    </w:div>
    <w:div w:id="1980838222">
      <w:bodyDiv w:val="1"/>
      <w:marLeft w:val="0"/>
      <w:marRight w:val="0"/>
      <w:marTop w:val="0"/>
      <w:marBottom w:val="0"/>
      <w:divBdr>
        <w:top w:val="none" w:sz="0" w:space="0" w:color="auto"/>
        <w:left w:val="none" w:sz="0" w:space="0" w:color="auto"/>
        <w:bottom w:val="none" w:sz="0" w:space="0" w:color="auto"/>
        <w:right w:val="none" w:sz="0" w:space="0" w:color="auto"/>
      </w:divBdr>
    </w:div>
    <w:div w:id="1993439876">
      <w:bodyDiv w:val="1"/>
      <w:marLeft w:val="0"/>
      <w:marRight w:val="0"/>
      <w:marTop w:val="0"/>
      <w:marBottom w:val="0"/>
      <w:divBdr>
        <w:top w:val="none" w:sz="0" w:space="0" w:color="auto"/>
        <w:left w:val="none" w:sz="0" w:space="0" w:color="auto"/>
        <w:bottom w:val="none" w:sz="0" w:space="0" w:color="auto"/>
        <w:right w:val="none" w:sz="0" w:space="0" w:color="auto"/>
      </w:divBdr>
    </w:div>
    <w:div w:id="2023780527">
      <w:bodyDiv w:val="1"/>
      <w:marLeft w:val="0"/>
      <w:marRight w:val="0"/>
      <w:marTop w:val="0"/>
      <w:marBottom w:val="0"/>
      <w:divBdr>
        <w:top w:val="none" w:sz="0" w:space="0" w:color="auto"/>
        <w:left w:val="none" w:sz="0" w:space="0" w:color="auto"/>
        <w:bottom w:val="none" w:sz="0" w:space="0" w:color="auto"/>
        <w:right w:val="none" w:sz="0" w:space="0" w:color="auto"/>
      </w:divBdr>
    </w:div>
    <w:div w:id="2070882375">
      <w:bodyDiv w:val="1"/>
      <w:marLeft w:val="0"/>
      <w:marRight w:val="0"/>
      <w:marTop w:val="0"/>
      <w:marBottom w:val="0"/>
      <w:divBdr>
        <w:top w:val="none" w:sz="0" w:space="0" w:color="auto"/>
        <w:left w:val="none" w:sz="0" w:space="0" w:color="auto"/>
        <w:bottom w:val="none" w:sz="0" w:space="0" w:color="auto"/>
        <w:right w:val="none" w:sz="0" w:space="0" w:color="auto"/>
      </w:divBdr>
    </w:div>
    <w:div w:id="2130970079">
      <w:bodyDiv w:val="1"/>
      <w:marLeft w:val="0"/>
      <w:marRight w:val="0"/>
      <w:marTop w:val="0"/>
      <w:marBottom w:val="0"/>
      <w:divBdr>
        <w:top w:val="none" w:sz="0" w:space="0" w:color="auto"/>
        <w:left w:val="none" w:sz="0" w:space="0" w:color="auto"/>
        <w:bottom w:val="none" w:sz="0" w:space="0" w:color="auto"/>
        <w:right w:val="none" w:sz="0" w:space="0" w:color="auto"/>
      </w:divBdr>
    </w:div>
    <w:div w:id="2132629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rtal.state.pa.us/portal/server.pt?open=514&amp;objID=551881&amp;mode=2" TargetMode="External"/><Relationship Id="rId13" Type="http://schemas.openxmlformats.org/officeDocument/2006/relationships/hyperlink" Target="http://www.portal.state.pa.us/portal/server.pt/community/policies/10301/management_directives/551950" TargetMode="External"/><Relationship Id="rId18" Type="http://schemas.openxmlformats.org/officeDocument/2006/relationships/hyperlink" Target="http://www.portal.state.pa.us/portal/server.pt?open=512&amp;objID=1359&amp;mode=2"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portal.state.pa.us/portal/server.pt/community/procurement_handbook/14304" TargetMode="External"/><Relationship Id="rId12" Type="http://schemas.openxmlformats.org/officeDocument/2006/relationships/hyperlink" Target="http://www.portal.state.pa.us/portal/server.pt?open=514&amp;objID=210791&amp;mode=2" TargetMode="External"/><Relationship Id="rId17" Type="http://schemas.openxmlformats.org/officeDocument/2006/relationships/hyperlink" Target="http://www.portal.state.pa.us/portal/server.pt?open=512&amp;objID=1359&amp;mode=2"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contracts.patreasury.gov/View.aspx?ContractID=228198"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ortal.state.pa.us/portal/server.pt/community/policies/10301/management_directives/551950"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contracts.patreasury.gov/View.aspx?ContractID=228198" TargetMode="External"/><Relationship Id="rId23" Type="http://schemas.openxmlformats.org/officeDocument/2006/relationships/header" Target="header3.xml"/><Relationship Id="rId28" Type="http://schemas.microsoft.com/office/2007/relationships/stylesWithEffects" Target="stylesWithEffects.xml"/><Relationship Id="rId10" Type="http://schemas.openxmlformats.org/officeDocument/2006/relationships/hyperlink" Target="http://uptimeinstitute.co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ortal.state.pa.us/portal/server.pt?open=514&amp;objID=551881&amp;mode=2" TargetMode="External"/><Relationship Id="rId14" Type="http://schemas.openxmlformats.org/officeDocument/2006/relationships/hyperlink" Target="http://www.portal.state.pa.us/portal/server.pt?open=514&amp;objID=210791&amp;mode=2%20"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193</Pages>
  <Words>71425</Words>
  <Characters>407127</Characters>
  <Application>Microsoft Office Word</Application>
  <DocSecurity>0</DocSecurity>
  <Lines>3392</Lines>
  <Paragraphs>955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477597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2013-05-14T15:09:00Z</dcterms:created>
  <dcterms:modified xsi:type="dcterms:W3CDTF">2013-05-14T15:19:00Z</dcterms:modified>
</cp:coreProperties>
</file>