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Heading1"/>
        <w:spacing w:before="60"/>
        <w:ind w:right="2963"/>
      </w:pPr>
      <w:r>
        <w:rPr/>
        <w:t>Appendix N – Bailment Program Active Vendor List</w:t>
      </w:r>
    </w:p>
    <w:p>
      <w:pPr>
        <w:spacing w:line="321" w:lineRule="exact" w:before="0"/>
        <w:ind w:left="2726" w:right="2964" w:firstLine="0"/>
        <w:jc w:val="center"/>
        <w:rPr>
          <w:b/>
          <w:sz w:val="28"/>
        </w:rPr>
      </w:pPr>
      <w:r>
        <w:rPr>
          <w:b/>
          <w:sz w:val="28"/>
        </w:rPr>
        <w:t>As of 2/19/2020</w:t>
      </w:r>
    </w:p>
    <w:p>
      <w:pPr>
        <w:pStyle w:val="BodyText"/>
        <w:spacing w:before="3"/>
        <w:rPr>
          <w:b/>
          <w:sz w:val="20"/>
        </w:rPr>
      </w:pPr>
    </w:p>
    <w:p>
      <w:pPr>
        <w:spacing w:after="0"/>
        <w:rPr>
          <w:sz w:val="20"/>
        </w:rPr>
        <w:sectPr>
          <w:footerReference w:type="default" r:id="rId5"/>
          <w:type w:val="continuous"/>
          <w:pgSz w:w="12240" w:h="15840"/>
          <w:pgMar w:footer="684" w:top="1380" w:bottom="880" w:left="1140" w:right="900"/>
        </w:sectPr>
      </w:pPr>
    </w:p>
    <w:p>
      <w:pPr>
        <w:spacing w:before="91"/>
        <w:ind w:left="299" w:right="92" w:firstLine="0"/>
        <w:jc w:val="left"/>
        <w:rPr>
          <w:sz w:val="28"/>
        </w:rPr>
      </w:pPr>
      <w:r>
        <w:rPr>
          <w:sz w:val="28"/>
        </w:rPr>
        <w:t>Bacardi North America Corporation Banfi Products Corporation</w:t>
      </w:r>
    </w:p>
    <w:p>
      <w:pPr>
        <w:spacing w:before="0"/>
        <w:ind w:left="299" w:right="993" w:firstLine="0"/>
        <w:jc w:val="left"/>
        <w:rPr>
          <w:sz w:val="28"/>
        </w:rPr>
      </w:pPr>
      <w:r>
        <w:rPr>
          <w:sz w:val="28"/>
        </w:rPr>
        <w:t>Brown-Forman Corporation Capital Wine &amp; Spirits*</w:t>
      </w:r>
    </w:p>
    <w:p>
      <w:pPr>
        <w:spacing w:before="0"/>
        <w:ind w:left="299" w:right="371" w:firstLine="0"/>
        <w:jc w:val="left"/>
        <w:rPr>
          <w:sz w:val="28"/>
        </w:rPr>
      </w:pPr>
      <w:r>
        <w:rPr>
          <w:sz w:val="28"/>
        </w:rPr>
        <w:t>Capital Wine &amp; Spirits dba North Wales Wines</w:t>
      </w:r>
    </w:p>
    <w:p>
      <w:pPr>
        <w:spacing w:before="0"/>
        <w:ind w:left="299" w:right="854" w:hanging="1"/>
        <w:jc w:val="left"/>
        <w:rPr>
          <w:sz w:val="28"/>
        </w:rPr>
      </w:pPr>
      <w:r>
        <w:rPr>
          <w:sz w:val="28"/>
        </w:rPr>
        <w:t>Carriage House Imports, Ltd. Constellation Brands, Inc.</w:t>
      </w:r>
    </w:p>
    <w:p>
      <w:pPr>
        <w:spacing w:before="0"/>
        <w:ind w:left="299" w:right="596" w:firstLine="0"/>
        <w:jc w:val="left"/>
        <w:rPr>
          <w:sz w:val="28"/>
        </w:rPr>
      </w:pPr>
      <w:r>
        <w:rPr>
          <w:sz w:val="28"/>
        </w:rPr>
        <w:t>Deutsch Family Wine &amp; Spirits Diageo Americas, Inc.</w:t>
      </w:r>
    </w:p>
    <w:p>
      <w:pPr>
        <w:spacing w:before="0"/>
        <w:ind w:left="299" w:right="1717" w:firstLine="0"/>
        <w:jc w:val="left"/>
        <w:rPr>
          <w:sz w:val="28"/>
        </w:rPr>
      </w:pPr>
      <w:r>
        <w:rPr>
          <w:sz w:val="28"/>
        </w:rPr>
        <w:t>Fetzer Vineyards Fifth Generation, Inc.</w:t>
      </w:r>
    </w:p>
    <w:p>
      <w:pPr>
        <w:spacing w:line="242" w:lineRule="auto" w:before="0"/>
        <w:ind w:left="299" w:right="255" w:firstLine="0"/>
        <w:jc w:val="left"/>
        <w:rPr>
          <w:sz w:val="28"/>
        </w:rPr>
      </w:pPr>
      <w:r>
        <w:rPr>
          <w:sz w:val="28"/>
        </w:rPr>
        <w:t>Heaven Hill Sales Co. dba Heaven Hill Brands</w:t>
      </w:r>
    </w:p>
    <w:p>
      <w:pPr>
        <w:spacing w:line="240" w:lineRule="auto" w:before="0"/>
        <w:ind w:left="299" w:right="21" w:firstLine="0"/>
        <w:jc w:val="left"/>
        <w:rPr>
          <w:sz w:val="28"/>
        </w:rPr>
      </w:pPr>
      <w:r>
        <w:rPr>
          <w:sz w:val="28"/>
        </w:rPr>
        <w:t>Jackson Family Enterprises, Inc. dba Jackson Family Fine Wines</w:t>
      </w:r>
    </w:p>
    <w:p>
      <w:pPr>
        <w:spacing w:before="0"/>
        <w:ind w:left="299" w:right="1685" w:firstLine="0"/>
        <w:jc w:val="left"/>
        <w:rPr>
          <w:sz w:val="28"/>
        </w:rPr>
      </w:pPr>
      <w:r>
        <w:rPr>
          <w:sz w:val="28"/>
        </w:rPr>
        <w:t>Jim Beam Brands Co. Kobrand Corporation</w:t>
      </w:r>
    </w:p>
    <w:p>
      <w:pPr>
        <w:spacing w:line="242" w:lineRule="auto" w:before="0"/>
        <w:ind w:left="300" w:right="1040" w:hanging="1"/>
        <w:jc w:val="left"/>
        <w:rPr>
          <w:sz w:val="28"/>
        </w:rPr>
      </w:pPr>
      <w:r>
        <w:rPr>
          <w:sz w:val="28"/>
        </w:rPr>
        <w:t>Laird Wine &amp; Spirits of PA Luxco Inc.</w:t>
      </w:r>
    </w:p>
    <w:p>
      <w:pPr>
        <w:spacing w:line="240" w:lineRule="auto" w:before="0"/>
        <w:ind w:left="300" w:right="92" w:firstLine="0"/>
        <w:jc w:val="left"/>
        <w:rPr>
          <w:sz w:val="28"/>
        </w:rPr>
      </w:pPr>
      <w:r>
        <w:rPr>
          <w:sz w:val="28"/>
        </w:rPr>
        <w:t>Majestic Wine &amp; Spirits USA, Inc.* Mast-Jagermeister US, Inc.</w:t>
      </w:r>
    </w:p>
    <w:p>
      <w:pPr>
        <w:spacing w:line="321" w:lineRule="exact" w:before="0"/>
        <w:ind w:left="300" w:right="0" w:firstLine="0"/>
        <w:jc w:val="left"/>
        <w:rPr>
          <w:sz w:val="28"/>
        </w:rPr>
      </w:pPr>
      <w:r>
        <w:rPr>
          <w:sz w:val="28"/>
        </w:rPr>
        <w:t>McCormick Distilling Company</w:t>
      </w:r>
    </w:p>
    <w:p>
      <w:pPr>
        <w:spacing w:line="322" w:lineRule="exact" w:before="89"/>
        <w:ind w:left="299" w:right="0" w:firstLine="0"/>
        <w:jc w:val="left"/>
        <w:rPr>
          <w:sz w:val="28"/>
        </w:rPr>
      </w:pPr>
      <w:r>
        <w:rPr/>
        <w:br w:type="column"/>
      </w:r>
      <w:r>
        <w:rPr>
          <w:sz w:val="28"/>
        </w:rPr>
        <w:t>MHW, Ltd.</w:t>
      </w:r>
    </w:p>
    <w:p>
      <w:pPr>
        <w:spacing w:before="0"/>
        <w:ind w:left="299" w:right="1893" w:firstLine="0"/>
        <w:jc w:val="left"/>
        <w:rPr>
          <w:sz w:val="28"/>
        </w:rPr>
      </w:pPr>
      <w:r>
        <w:rPr>
          <w:sz w:val="28"/>
        </w:rPr>
        <w:t>Moet Hennessy USA, Inc. Montebello Brands, Inc.</w:t>
      </w:r>
    </w:p>
    <w:p>
      <w:pPr>
        <w:spacing w:before="0"/>
        <w:ind w:left="299" w:right="1676" w:firstLine="0"/>
        <w:jc w:val="left"/>
        <w:rPr>
          <w:sz w:val="28"/>
        </w:rPr>
      </w:pPr>
      <w:r>
        <w:rPr>
          <w:sz w:val="28"/>
        </w:rPr>
        <w:t>Palm Bay International, Inc. Paterno Imports Ltd.</w:t>
      </w:r>
    </w:p>
    <w:p>
      <w:pPr>
        <w:spacing w:line="242" w:lineRule="auto" w:before="0"/>
        <w:ind w:left="299" w:right="2010" w:firstLine="0"/>
        <w:jc w:val="left"/>
        <w:rPr>
          <w:sz w:val="28"/>
        </w:rPr>
      </w:pPr>
      <w:r>
        <w:rPr>
          <w:sz w:val="28"/>
        </w:rPr>
        <w:t>Pernod-Ricard USA, Inc. Pio Imports</w:t>
      </w:r>
    </w:p>
    <w:p>
      <w:pPr>
        <w:spacing w:line="240" w:lineRule="auto" w:before="0"/>
        <w:ind w:left="299" w:right="2213" w:firstLine="0"/>
        <w:jc w:val="left"/>
        <w:rPr>
          <w:sz w:val="28"/>
        </w:rPr>
      </w:pPr>
      <w:r>
        <w:rPr>
          <w:sz w:val="28"/>
        </w:rPr>
        <w:t>Proximo Spirits, Inc. Sazerac Company, Inc. Sazerac North America</w:t>
      </w:r>
    </w:p>
    <w:p>
      <w:pPr>
        <w:spacing w:before="0"/>
        <w:ind w:left="299" w:right="556" w:firstLine="0"/>
        <w:jc w:val="left"/>
        <w:rPr>
          <w:sz w:val="28"/>
        </w:rPr>
      </w:pPr>
      <w:r>
        <w:rPr>
          <w:sz w:val="28"/>
        </w:rPr>
        <w:t>Southern Glazer’s Wine and Spirits of Pennsylvania, LLC</w:t>
      </w:r>
    </w:p>
    <w:p>
      <w:pPr>
        <w:spacing w:line="321" w:lineRule="exact" w:before="0"/>
        <w:ind w:left="299" w:right="0" w:firstLine="0"/>
        <w:jc w:val="left"/>
        <w:rPr>
          <w:sz w:val="28"/>
        </w:rPr>
      </w:pPr>
      <w:r>
        <w:rPr>
          <w:sz w:val="28"/>
        </w:rPr>
        <w:t>Stoli Group USA, LLC</w:t>
      </w:r>
    </w:p>
    <w:p>
      <w:pPr>
        <w:spacing w:before="0"/>
        <w:ind w:left="299" w:right="1466" w:firstLine="0"/>
        <w:jc w:val="left"/>
        <w:rPr>
          <w:sz w:val="28"/>
        </w:rPr>
      </w:pPr>
      <w:r>
        <w:rPr>
          <w:sz w:val="28"/>
        </w:rPr>
        <w:t>Sutter Home Winery, Inc. dba Trinchero Family Estates</w:t>
      </w:r>
    </w:p>
    <w:p>
      <w:pPr>
        <w:spacing w:line="321" w:lineRule="exact" w:before="0"/>
        <w:ind w:left="299" w:right="0" w:firstLine="0"/>
        <w:jc w:val="left"/>
        <w:rPr>
          <w:sz w:val="28"/>
        </w:rPr>
      </w:pPr>
      <w:r>
        <w:rPr>
          <w:sz w:val="28"/>
        </w:rPr>
        <w:t>The Wine Group</w:t>
      </w:r>
    </w:p>
    <w:p>
      <w:pPr>
        <w:spacing w:before="0"/>
        <w:ind w:left="299" w:right="1350" w:firstLine="0"/>
        <w:jc w:val="left"/>
        <w:rPr>
          <w:sz w:val="28"/>
        </w:rPr>
      </w:pPr>
      <w:r>
        <w:rPr>
          <w:sz w:val="28"/>
        </w:rPr>
        <w:t>The Wine Merchant, Ltd. Treasury Wine Estates Limited Vintage Imports</w:t>
      </w:r>
    </w:p>
    <w:p>
      <w:pPr>
        <w:spacing w:before="0"/>
        <w:ind w:left="299" w:right="750" w:firstLine="0"/>
        <w:jc w:val="left"/>
        <w:rPr>
          <w:sz w:val="28"/>
        </w:rPr>
      </w:pPr>
      <w:r>
        <w:rPr>
          <w:sz w:val="28"/>
        </w:rPr>
        <w:t>Western Spirits Beverage Company, LLC</w:t>
      </w:r>
    </w:p>
    <w:p>
      <w:pPr>
        <w:spacing w:line="321" w:lineRule="exact" w:before="0"/>
        <w:ind w:left="299" w:right="0" w:firstLine="0"/>
        <w:jc w:val="left"/>
        <w:rPr>
          <w:sz w:val="28"/>
        </w:rPr>
      </w:pPr>
      <w:r>
        <w:rPr>
          <w:sz w:val="28"/>
        </w:rPr>
        <w:t>William Grant and Sons, Inc.</w:t>
      </w:r>
    </w:p>
    <w:p>
      <w:pPr>
        <w:spacing w:after="0" w:line="321" w:lineRule="exact"/>
        <w:jc w:val="left"/>
        <w:rPr>
          <w:sz w:val="28"/>
        </w:rPr>
        <w:sectPr>
          <w:type w:val="continuous"/>
          <w:pgSz w:w="12240" w:h="15840"/>
          <w:pgMar w:top="1380" w:bottom="880" w:left="1140" w:right="900"/>
          <w:cols w:num="2" w:equalWidth="0">
            <w:col w:w="4462" w:space="578"/>
            <w:col w:w="5160"/>
          </w:cols>
        </w:sectPr>
      </w:pPr>
    </w:p>
    <w:p>
      <w:pPr>
        <w:pStyle w:val="BodyText"/>
        <w:spacing w:before="9"/>
        <w:rPr>
          <w:sz w:val="18"/>
        </w:rPr>
      </w:pPr>
    </w:p>
    <w:p>
      <w:pPr>
        <w:spacing w:line="240" w:lineRule="auto" w:before="89"/>
        <w:ind w:left="300" w:right="175" w:firstLine="0"/>
        <w:jc w:val="left"/>
        <w:rPr>
          <w:sz w:val="28"/>
        </w:rPr>
      </w:pPr>
      <w:r>
        <w:rPr>
          <w:sz w:val="28"/>
        </w:rPr>
        <w:t>*Denotes those vendors that have Bailment Agreements with effective dates that are subsequent to the posting of this RFP but will be in effect at the time services are to be provided.</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9"/>
        </w:rPr>
      </w:pPr>
    </w:p>
    <w:p>
      <w:pPr>
        <w:spacing w:before="1"/>
        <w:ind w:left="0" w:right="540" w:firstLine="0"/>
        <w:jc w:val="right"/>
        <w:rPr>
          <w:rFonts w:ascii="Verdana"/>
          <w:b/>
          <w:sz w:val="20"/>
        </w:rPr>
      </w:pPr>
      <w:r>
        <w:rPr>
          <w:rFonts w:ascii="Verdana"/>
          <w:sz w:val="20"/>
        </w:rPr>
        <w:t>Page </w:t>
      </w:r>
      <w:r>
        <w:rPr>
          <w:rFonts w:ascii="Verdana"/>
          <w:b/>
          <w:sz w:val="20"/>
        </w:rPr>
        <w:t>1 </w:t>
      </w:r>
      <w:r>
        <w:rPr>
          <w:rFonts w:ascii="Verdana"/>
          <w:sz w:val="20"/>
        </w:rPr>
        <w:t>of </w:t>
      </w:r>
      <w:r>
        <w:rPr>
          <w:rFonts w:ascii="Verdana"/>
          <w:b/>
          <w:sz w:val="20"/>
        </w:rPr>
        <w:t>17</w:t>
      </w:r>
    </w:p>
    <w:p>
      <w:pPr>
        <w:spacing w:after="0"/>
        <w:jc w:val="right"/>
        <w:rPr>
          <w:rFonts w:ascii="Verdana"/>
          <w:sz w:val="20"/>
        </w:rPr>
        <w:sectPr>
          <w:type w:val="continuous"/>
          <w:pgSz w:w="12240" w:h="15840"/>
          <w:pgMar w:top="1380" w:bottom="880" w:left="1140" w:right="900"/>
        </w:sectPr>
      </w:pPr>
    </w:p>
    <w:p>
      <w:pPr>
        <w:pStyle w:val="Heading2"/>
        <w:spacing w:before="68"/>
        <w:ind w:left="1183" w:right="2015" w:firstLine="1795"/>
      </w:pPr>
      <w:r>
        <w:rPr/>
        <w:t>SAMPLE BAILMENT AGREEMENT BETWEEN THE PENNSYLVANIA LIQUOR CONTROL BOARD</w:t>
      </w:r>
    </w:p>
    <w:p>
      <w:pPr>
        <w:spacing w:before="0"/>
        <w:ind w:left="3676" w:right="4510" w:firstLine="736"/>
        <w:jc w:val="left"/>
        <w:rPr>
          <w:b/>
          <w:sz w:val="24"/>
        </w:rPr>
      </w:pPr>
      <w:r>
        <w:rPr>
          <w:b/>
          <w:sz w:val="24"/>
        </w:rPr>
        <w:t>AND [VENDOR NAME]</w:t>
      </w:r>
    </w:p>
    <w:p>
      <w:pPr>
        <w:pStyle w:val="BodyText"/>
        <w:rPr>
          <w:b/>
        </w:rPr>
      </w:pPr>
    </w:p>
    <w:p>
      <w:pPr>
        <w:pStyle w:val="BodyText"/>
        <w:spacing w:before="1"/>
        <w:ind w:left="287"/>
        <w:jc w:val="both"/>
      </w:pPr>
      <w:r>
        <w:rPr/>
        <w:t>The Pennsylvania Liquor Control Board (“PLCB”), headquartered at Northwest Office</w:t>
      </w:r>
    </w:p>
    <w:p>
      <w:pPr>
        <w:pStyle w:val="BodyText"/>
        <w:spacing w:line="247" w:lineRule="auto" w:before="21"/>
        <w:ind w:left="287" w:right="109"/>
        <w:jc w:val="both"/>
      </w:pPr>
      <w:r>
        <w:rPr/>
        <w:t>Building, 910 Capital Street, Harrisburg, Pennsylvania, and [</w:t>
      </w:r>
      <w:r>
        <w:rPr>
          <w:b/>
        </w:rPr>
        <w:t>VENDOR NAME</w:t>
      </w:r>
      <w:r>
        <w:rPr/>
        <w:t>], (“Vendor”), headquartered</w:t>
      </w:r>
      <w:r>
        <w:rPr>
          <w:spacing w:val="-10"/>
        </w:rPr>
        <w:t> </w:t>
      </w:r>
      <w:r>
        <w:rPr/>
        <w:t>at</w:t>
      </w:r>
      <w:r>
        <w:rPr>
          <w:spacing w:val="-12"/>
        </w:rPr>
        <w:t> </w:t>
      </w:r>
      <w:r>
        <w:rPr/>
        <w:t>[</w:t>
      </w:r>
      <w:r>
        <w:rPr>
          <w:b/>
        </w:rPr>
        <w:t>VENDOR</w:t>
      </w:r>
      <w:r>
        <w:rPr>
          <w:b/>
          <w:spacing w:val="-13"/>
        </w:rPr>
        <w:t> </w:t>
      </w:r>
      <w:r>
        <w:rPr>
          <w:b/>
        </w:rPr>
        <w:t>ADDRESS</w:t>
      </w:r>
      <w:r>
        <w:rPr/>
        <w:t>]</w:t>
      </w:r>
      <w:r>
        <w:rPr>
          <w:spacing w:val="-12"/>
        </w:rPr>
        <w:t> </w:t>
      </w:r>
      <w:r>
        <w:rPr/>
        <w:t>(collectively,</w:t>
      </w:r>
      <w:r>
        <w:rPr>
          <w:spacing w:val="-12"/>
        </w:rPr>
        <w:t> </w:t>
      </w:r>
      <w:r>
        <w:rPr/>
        <w:t>“the</w:t>
      </w:r>
      <w:r>
        <w:rPr>
          <w:spacing w:val="-13"/>
        </w:rPr>
        <w:t> </w:t>
      </w:r>
      <w:r>
        <w:rPr/>
        <w:t>Parties”)</w:t>
      </w:r>
      <w:r>
        <w:rPr>
          <w:spacing w:val="-13"/>
        </w:rPr>
        <w:t> </w:t>
      </w:r>
      <w:r>
        <w:rPr/>
        <w:t>enter</w:t>
      </w:r>
      <w:r>
        <w:rPr>
          <w:spacing w:val="-9"/>
        </w:rPr>
        <w:t> </w:t>
      </w:r>
      <w:r>
        <w:rPr/>
        <w:t>into</w:t>
      </w:r>
      <w:r>
        <w:rPr>
          <w:spacing w:val="-12"/>
        </w:rPr>
        <w:t> </w:t>
      </w:r>
      <w:r>
        <w:rPr/>
        <w:t>this</w:t>
      </w:r>
      <w:r>
        <w:rPr>
          <w:spacing w:val="-12"/>
        </w:rPr>
        <w:t> </w:t>
      </w:r>
      <w:r>
        <w:rPr/>
        <w:t>Agreement</w:t>
      </w:r>
      <w:r>
        <w:rPr>
          <w:spacing w:val="-12"/>
        </w:rPr>
        <w:t> </w:t>
      </w:r>
      <w:r>
        <w:rPr/>
        <w:t>for</w:t>
      </w:r>
      <w:r>
        <w:rPr>
          <w:spacing w:val="-12"/>
        </w:rPr>
        <w:t> </w:t>
      </w:r>
      <w:r>
        <w:rPr/>
        <w:t>the purpose of operating a Bailment Warehouse Program. This Agreement will be effective on [</w:t>
      </w:r>
      <w:r>
        <w:rPr>
          <w:b/>
        </w:rPr>
        <w:t>EFFECTIVE DATE</w:t>
      </w:r>
      <w:r>
        <w:rPr/>
        <w:t>] and will remain in effect until cancelled in writing by the PLCB or by the Vendor with thirty calendar days’ prior written notice to the other</w:t>
      </w:r>
      <w:r>
        <w:rPr>
          <w:spacing w:val="-9"/>
        </w:rPr>
        <w:t> </w:t>
      </w:r>
      <w:r>
        <w:rPr/>
        <w:t>party.</w:t>
      </w:r>
    </w:p>
    <w:p>
      <w:pPr>
        <w:pStyle w:val="BodyText"/>
        <w:spacing w:before="6"/>
        <w:rPr>
          <w:sz w:val="27"/>
        </w:rPr>
      </w:pPr>
    </w:p>
    <w:p>
      <w:pPr>
        <w:pStyle w:val="BodyText"/>
        <w:spacing w:line="247" w:lineRule="auto"/>
        <w:ind w:left="299" w:right="523" w:hanging="12"/>
        <w:jc w:val="both"/>
      </w:pPr>
      <w:r>
        <w:rPr/>
        <w:t>A Bailment Warehouse Program is defined as one party storing or housing property owned by another party. The parties agree that the PLCB will store or house, in its contracted Distribution Centers (“DCs”), product that is owned by the Vendor.</w:t>
      </w:r>
    </w:p>
    <w:p>
      <w:pPr>
        <w:pStyle w:val="BodyText"/>
        <w:spacing w:before="1"/>
        <w:rPr>
          <w:sz w:val="27"/>
        </w:rPr>
      </w:pPr>
    </w:p>
    <w:p>
      <w:pPr>
        <w:pStyle w:val="BodyText"/>
        <w:ind w:left="287"/>
        <w:jc w:val="both"/>
      </w:pPr>
      <w:r>
        <w:rPr/>
        <w:t>The following definitions shall apply to this Agreement:</w:t>
      </w:r>
    </w:p>
    <w:p>
      <w:pPr>
        <w:pStyle w:val="ListParagraph"/>
        <w:numPr>
          <w:ilvl w:val="0"/>
          <w:numId w:val="1"/>
        </w:numPr>
        <w:tabs>
          <w:tab w:pos="1019" w:val="left" w:leader="none"/>
          <w:tab w:pos="1020" w:val="left" w:leader="none"/>
        </w:tabs>
        <w:spacing w:line="240" w:lineRule="auto" w:before="25" w:after="0"/>
        <w:ind w:left="1020" w:right="524" w:hanging="449"/>
        <w:jc w:val="left"/>
        <w:rPr>
          <w:sz w:val="24"/>
        </w:rPr>
      </w:pPr>
      <w:r>
        <w:rPr>
          <w:b/>
          <w:sz w:val="24"/>
        </w:rPr>
        <w:t>ASN </w:t>
      </w:r>
      <w:r>
        <w:rPr>
          <w:sz w:val="24"/>
        </w:rPr>
        <w:t>– Advance Shipping Notice, the notice that Vendor shall provide the PLCB prior to sending a shipment of bailment product to a PLCB</w:t>
      </w:r>
      <w:r>
        <w:rPr>
          <w:spacing w:val="-4"/>
          <w:sz w:val="24"/>
        </w:rPr>
        <w:t> </w:t>
      </w:r>
      <w:r>
        <w:rPr>
          <w:sz w:val="24"/>
        </w:rPr>
        <w:t>DC.</w:t>
      </w:r>
    </w:p>
    <w:p>
      <w:pPr>
        <w:pStyle w:val="ListParagraph"/>
        <w:numPr>
          <w:ilvl w:val="0"/>
          <w:numId w:val="1"/>
        </w:numPr>
        <w:tabs>
          <w:tab w:pos="1020" w:val="left" w:leader="none"/>
        </w:tabs>
        <w:spacing w:line="244" w:lineRule="auto" w:before="216" w:after="0"/>
        <w:ind w:left="1020" w:right="524" w:hanging="449"/>
        <w:jc w:val="both"/>
        <w:rPr>
          <w:sz w:val="24"/>
        </w:rPr>
      </w:pPr>
      <w:r>
        <w:rPr>
          <w:b/>
          <w:sz w:val="24"/>
        </w:rPr>
        <w:t>Damage</w:t>
      </w:r>
      <w:r>
        <w:rPr>
          <w:b/>
          <w:spacing w:val="-13"/>
          <w:sz w:val="24"/>
        </w:rPr>
        <w:t> </w:t>
      </w:r>
      <w:r>
        <w:rPr>
          <w:sz w:val="24"/>
        </w:rPr>
        <w:t>–</w:t>
      </w:r>
      <w:r>
        <w:rPr>
          <w:spacing w:val="-11"/>
          <w:sz w:val="24"/>
        </w:rPr>
        <w:t> </w:t>
      </w:r>
      <w:r>
        <w:rPr>
          <w:sz w:val="24"/>
        </w:rPr>
        <w:t>When</w:t>
      </w:r>
      <w:r>
        <w:rPr>
          <w:spacing w:val="-11"/>
          <w:sz w:val="24"/>
        </w:rPr>
        <w:t> </w:t>
      </w:r>
      <w:r>
        <w:rPr>
          <w:sz w:val="24"/>
        </w:rPr>
        <w:t>merchandise</w:t>
      </w:r>
      <w:r>
        <w:rPr>
          <w:spacing w:val="-13"/>
          <w:sz w:val="24"/>
        </w:rPr>
        <w:t> </w:t>
      </w:r>
      <w:r>
        <w:rPr>
          <w:sz w:val="24"/>
        </w:rPr>
        <w:t>has,</w:t>
      </w:r>
      <w:r>
        <w:rPr>
          <w:spacing w:val="-11"/>
          <w:sz w:val="24"/>
        </w:rPr>
        <w:t> </w:t>
      </w:r>
      <w:r>
        <w:rPr>
          <w:sz w:val="24"/>
        </w:rPr>
        <w:t>through</w:t>
      </w:r>
      <w:r>
        <w:rPr>
          <w:spacing w:val="-11"/>
          <w:sz w:val="24"/>
        </w:rPr>
        <w:t> </w:t>
      </w:r>
      <w:r>
        <w:rPr>
          <w:sz w:val="24"/>
        </w:rPr>
        <w:t>the</w:t>
      </w:r>
      <w:r>
        <w:rPr>
          <w:spacing w:val="-13"/>
          <w:sz w:val="24"/>
        </w:rPr>
        <w:t> </w:t>
      </w:r>
      <w:r>
        <w:rPr>
          <w:sz w:val="24"/>
        </w:rPr>
        <w:t>perils</w:t>
      </w:r>
      <w:r>
        <w:rPr>
          <w:spacing w:val="-11"/>
          <w:sz w:val="24"/>
        </w:rPr>
        <w:t> </w:t>
      </w:r>
      <w:r>
        <w:rPr>
          <w:sz w:val="24"/>
        </w:rPr>
        <w:t>of</w:t>
      </w:r>
      <w:r>
        <w:rPr>
          <w:spacing w:val="-12"/>
          <w:sz w:val="24"/>
        </w:rPr>
        <w:t> </w:t>
      </w:r>
      <w:r>
        <w:rPr>
          <w:sz w:val="24"/>
        </w:rPr>
        <w:t>transportation,</w:t>
      </w:r>
      <w:r>
        <w:rPr>
          <w:spacing w:val="-11"/>
          <w:sz w:val="24"/>
        </w:rPr>
        <w:t> </w:t>
      </w:r>
      <w:r>
        <w:rPr>
          <w:sz w:val="24"/>
        </w:rPr>
        <w:t>handling,</w:t>
      </w:r>
      <w:r>
        <w:rPr>
          <w:spacing w:val="-12"/>
          <w:sz w:val="24"/>
        </w:rPr>
        <w:t> </w:t>
      </w:r>
      <w:r>
        <w:rPr>
          <w:sz w:val="24"/>
        </w:rPr>
        <w:t>or</w:t>
      </w:r>
      <w:r>
        <w:rPr>
          <w:spacing w:val="-12"/>
          <w:sz w:val="24"/>
        </w:rPr>
        <w:t> </w:t>
      </w:r>
      <w:r>
        <w:rPr>
          <w:sz w:val="24"/>
        </w:rPr>
        <w:t>natural occurrences, attained a condition that prevents its sale at full retail price through the PLCB’s wine and spirits store</w:t>
      </w:r>
      <w:r>
        <w:rPr>
          <w:spacing w:val="-3"/>
          <w:sz w:val="24"/>
        </w:rPr>
        <w:t> </w:t>
      </w:r>
      <w:r>
        <w:rPr>
          <w:sz w:val="24"/>
        </w:rPr>
        <w:t>system.</w:t>
      </w:r>
    </w:p>
    <w:p>
      <w:pPr>
        <w:pStyle w:val="BodyText"/>
        <w:spacing w:before="8"/>
        <w:rPr>
          <w:sz w:val="25"/>
        </w:rPr>
      </w:pPr>
    </w:p>
    <w:p>
      <w:pPr>
        <w:pStyle w:val="ListParagraph"/>
        <w:numPr>
          <w:ilvl w:val="0"/>
          <w:numId w:val="1"/>
        </w:numPr>
        <w:tabs>
          <w:tab w:pos="1019" w:val="left" w:leader="none"/>
          <w:tab w:pos="1020" w:val="left" w:leader="none"/>
        </w:tabs>
        <w:spacing w:line="240" w:lineRule="auto" w:before="1" w:after="0"/>
        <w:ind w:left="1020" w:right="526" w:hanging="449"/>
        <w:jc w:val="left"/>
        <w:rPr>
          <w:sz w:val="24"/>
        </w:rPr>
      </w:pPr>
      <w:r>
        <w:rPr>
          <w:b/>
          <w:sz w:val="24"/>
        </w:rPr>
        <w:t>DC </w:t>
      </w:r>
      <w:r>
        <w:rPr>
          <w:sz w:val="24"/>
        </w:rPr>
        <w:t>– Distribution Center, a third-party warehouse where the PLCB shall store bailment and non-bailment</w:t>
      </w:r>
      <w:r>
        <w:rPr>
          <w:spacing w:val="-1"/>
          <w:sz w:val="24"/>
        </w:rPr>
        <w:t> </w:t>
      </w:r>
      <w:r>
        <w:rPr>
          <w:sz w:val="24"/>
        </w:rPr>
        <w:t>product.</w:t>
      </w:r>
    </w:p>
    <w:p>
      <w:pPr>
        <w:pStyle w:val="ListParagraph"/>
        <w:numPr>
          <w:ilvl w:val="0"/>
          <w:numId w:val="1"/>
        </w:numPr>
        <w:tabs>
          <w:tab w:pos="1019" w:val="left" w:leader="none"/>
          <w:tab w:pos="1020" w:val="left" w:leader="none"/>
        </w:tabs>
        <w:spacing w:line="240" w:lineRule="auto" w:before="218" w:after="0"/>
        <w:ind w:left="1019" w:right="522" w:hanging="449"/>
        <w:jc w:val="left"/>
        <w:rPr>
          <w:sz w:val="24"/>
        </w:rPr>
      </w:pPr>
      <w:r>
        <w:rPr>
          <w:b/>
          <w:sz w:val="24"/>
        </w:rPr>
        <w:t>Delisted </w:t>
      </w:r>
      <w:r>
        <w:rPr>
          <w:sz w:val="24"/>
        </w:rPr>
        <w:t>– Product that the PLCB decides to no longer offer for sale in the PLCB’s wine and spirits</w:t>
      </w:r>
      <w:r>
        <w:rPr>
          <w:spacing w:val="-1"/>
          <w:sz w:val="24"/>
        </w:rPr>
        <w:t> </w:t>
      </w:r>
      <w:r>
        <w:rPr>
          <w:sz w:val="24"/>
        </w:rPr>
        <w:t>stores.</w:t>
      </w:r>
    </w:p>
    <w:p>
      <w:pPr>
        <w:pStyle w:val="ListParagraph"/>
        <w:numPr>
          <w:ilvl w:val="0"/>
          <w:numId w:val="1"/>
        </w:numPr>
        <w:tabs>
          <w:tab w:pos="1019" w:val="left" w:leader="none"/>
          <w:tab w:pos="1020" w:val="left" w:leader="none"/>
        </w:tabs>
        <w:spacing w:line="240" w:lineRule="auto" w:before="218" w:after="0"/>
        <w:ind w:left="1020" w:right="526" w:hanging="449"/>
        <w:jc w:val="left"/>
        <w:rPr>
          <w:sz w:val="24"/>
        </w:rPr>
      </w:pPr>
      <w:r>
        <w:rPr>
          <w:b/>
          <w:sz w:val="24"/>
        </w:rPr>
        <w:t>EDI </w:t>
      </w:r>
      <w:r>
        <w:rPr>
          <w:sz w:val="24"/>
        </w:rPr>
        <w:t>– Electronic data interchange, a method of transmitting data or information electronically.</w:t>
      </w:r>
    </w:p>
    <w:p>
      <w:pPr>
        <w:pStyle w:val="ListParagraph"/>
        <w:numPr>
          <w:ilvl w:val="0"/>
          <w:numId w:val="1"/>
        </w:numPr>
        <w:tabs>
          <w:tab w:pos="1019" w:val="left" w:leader="none"/>
          <w:tab w:pos="1020" w:val="left" w:leader="none"/>
        </w:tabs>
        <w:spacing w:line="240" w:lineRule="auto" w:before="218" w:after="0"/>
        <w:ind w:left="1019" w:right="524" w:hanging="449"/>
        <w:jc w:val="left"/>
        <w:rPr>
          <w:sz w:val="24"/>
        </w:rPr>
      </w:pPr>
      <w:r>
        <w:rPr>
          <w:b/>
          <w:sz w:val="24"/>
        </w:rPr>
        <w:t>Incorrect Product </w:t>
      </w:r>
      <w:r>
        <w:rPr>
          <w:sz w:val="24"/>
        </w:rPr>
        <w:t>– Product that the Vendor has shipped to the PLCB that was not indicated on the</w:t>
      </w:r>
      <w:r>
        <w:rPr>
          <w:spacing w:val="-2"/>
          <w:sz w:val="24"/>
        </w:rPr>
        <w:t> </w:t>
      </w:r>
      <w:r>
        <w:rPr>
          <w:sz w:val="24"/>
        </w:rPr>
        <w:t>ASN.</w:t>
      </w:r>
    </w:p>
    <w:p>
      <w:pPr>
        <w:pStyle w:val="ListParagraph"/>
        <w:numPr>
          <w:ilvl w:val="0"/>
          <w:numId w:val="1"/>
        </w:numPr>
        <w:tabs>
          <w:tab w:pos="1019" w:val="left" w:leader="none"/>
          <w:tab w:pos="1020" w:val="left" w:leader="none"/>
        </w:tabs>
        <w:spacing w:line="240" w:lineRule="auto" w:before="218" w:after="0"/>
        <w:ind w:left="1020" w:right="524" w:hanging="449"/>
        <w:jc w:val="left"/>
        <w:rPr>
          <w:sz w:val="24"/>
        </w:rPr>
      </w:pPr>
      <w:r>
        <w:rPr>
          <w:b/>
          <w:sz w:val="24"/>
        </w:rPr>
        <w:t>Luxury</w:t>
      </w:r>
      <w:r>
        <w:rPr>
          <w:b/>
          <w:spacing w:val="-5"/>
          <w:sz w:val="24"/>
        </w:rPr>
        <w:t> </w:t>
      </w:r>
      <w:r>
        <w:rPr>
          <w:b/>
          <w:sz w:val="24"/>
        </w:rPr>
        <w:t>Merchandise</w:t>
      </w:r>
      <w:r>
        <w:rPr>
          <w:b/>
          <w:spacing w:val="-5"/>
          <w:sz w:val="24"/>
        </w:rPr>
        <w:t> </w:t>
      </w:r>
      <w:r>
        <w:rPr>
          <w:sz w:val="24"/>
        </w:rPr>
        <w:t>–</w:t>
      </w:r>
      <w:r>
        <w:rPr>
          <w:spacing w:val="-2"/>
          <w:sz w:val="24"/>
        </w:rPr>
        <w:t> </w:t>
      </w:r>
      <w:r>
        <w:rPr>
          <w:sz w:val="24"/>
        </w:rPr>
        <w:t>Non-stock</w:t>
      </w:r>
      <w:r>
        <w:rPr>
          <w:spacing w:val="-4"/>
          <w:sz w:val="24"/>
        </w:rPr>
        <w:t> </w:t>
      </w:r>
      <w:r>
        <w:rPr>
          <w:sz w:val="24"/>
        </w:rPr>
        <w:t>merchandise</w:t>
      </w:r>
      <w:r>
        <w:rPr>
          <w:spacing w:val="-6"/>
          <w:sz w:val="24"/>
        </w:rPr>
        <w:t> </w:t>
      </w:r>
      <w:r>
        <w:rPr>
          <w:sz w:val="24"/>
        </w:rPr>
        <w:t>that</w:t>
      </w:r>
      <w:r>
        <w:rPr>
          <w:spacing w:val="-3"/>
          <w:sz w:val="24"/>
        </w:rPr>
        <w:t> </w:t>
      </w:r>
      <w:r>
        <w:rPr>
          <w:sz w:val="24"/>
        </w:rPr>
        <w:t>is</w:t>
      </w:r>
      <w:r>
        <w:rPr>
          <w:spacing w:val="-5"/>
          <w:sz w:val="24"/>
        </w:rPr>
        <w:t> </w:t>
      </w:r>
      <w:r>
        <w:rPr>
          <w:sz w:val="24"/>
        </w:rPr>
        <w:t>allocated</w:t>
      </w:r>
      <w:r>
        <w:rPr>
          <w:spacing w:val="-1"/>
          <w:sz w:val="24"/>
        </w:rPr>
        <w:t> </w:t>
      </w:r>
      <w:r>
        <w:rPr>
          <w:sz w:val="24"/>
        </w:rPr>
        <w:t>among</w:t>
      </w:r>
      <w:r>
        <w:rPr>
          <w:spacing w:val="-5"/>
          <w:sz w:val="24"/>
        </w:rPr>
        <w:t> </w:t>
      </w:r>
      <w:r>
        <w:rPr>
          <w:sz w:val="24"/>
        </w:rPr>
        <w:t>the</w:t>
      </w:r>
      <w:r>
        <w:rPr>
          <w:spacing w:val="-5"/>
          <w:sz w:val="24"/>
        </w:rPr>
        <w:t> </w:t>
      </w:r>
      <w:r>
        <w:rPr>
          <w:sz w:val="24"/>
        </w:rPr>
        <w:t>PLCB’s</w:t>
      </w:r>
      <w:r>
        <w:rPr>
          <w:spacing w:val="-5"/>
          <w:sz w:val="24"/>
        </w:rPr>
        <w:t> </w:t>
      </w:r>
      <w:r>
        <w:rPr>
          <w:sz w:val="24"/>
        </w:rPr>
        <w:t>wine and spirits stores and generally is not replenished as it is</w:t>
      </w:r>
      <w:r>
        <w:rPr>
          <w:spacing w:val="-2"/>
          <w:sz w:val="24"/>
        </w:rPr>
        <w:t> </w:t>
      </w:r>
      <w:r>
        <w:rPr>
          <w:sz w:val="24"/>
        </w:rPr>
        <w:t>consumed.</w:t>
      </w:r>
    </w:p>
    <w:p>
      <w:pPr>
        <w:pStyle w:val="ListParagraph"/>
        <w:numPr>
          <w:ilvl w:val="0"/>
          <w:numId w:val="1"/>
        </w:numPr>
        <w:tabs>
          <w:tab w:pos="1019" w:val="left" w:leader="none"/>
          <w:tab w:pos="1020" w:val="left" w:leader="none"/>
        </w:tabs>
        <w:spacing w:line="240" w:lineRule="auto" w:before="218" w:after="0"/>
        <w:ind w:left="1019" w:right="528" w:hanging="449"/>
        <w:jc w:val="left"/>
        <w:rPr>
          <w:sz w:val="24"/>
        </w:rPr>
      </w:pPr>
      <w:r>
        <w:rPr>
          <w:b/>
          <w:sz w:val="24"/>
        </w:rPr>
        <w:t>Overage </w:t>
      </w:r>
      <w:r>
        <w:rPr>
          <w:sz w:val="24"/>
        </w:rPr>
        <w:t>– A physical quantity of a product which is greater than ASN or PLCB records indicate.</w:t>
      </w:r>
    </w:p>
    <w:p>
      <w:pPr>
        <w:pStyle w:val="ListParagraph"/>
        <w:numPr>
          <w:ilvl w:val="0"/>
          <w:numId w:val="1"/>
        </w:numPr>
        <w:tabs>
          <w:tab w:pos="1019" w:val="left" w:leader="none"/>
          <w:tab w:pos="1020" w:val="left" w:leader="none"/>
        </w:tabs>
        <w:spacing w:line="240" w:lineRule="auto" w:before="218" w:after="0"/>
        <w:ind w:left="1020" w:right="525" w:hanging="449"/>
        <w:jc w:val="left"/>
        <w:rPr>
          <w:sz w:val="24"/>
        </w:rPr>
      </w:pPr>
      <w:r>
        <w:rPr>
          <w:b/>
          <w:sz w:val="24"/>
        </w:rPr>
        <w:t>Private Account </w:t>
      </w:r>
      <w:r>
        <w:rPr>
          <w:sz w:val="24"/>
        </w:rPr>
        <w:t>– A separate location in the DC where bailment product will be held pending disposition when, for whatever reason, the product cannot be put away in the</w:t>
      </w:r>
      <w:r>
        <w:rPr>
          <w:spacing w:val="-36"/>
          <w:sz w:val="24"/>
        </w:rPr>
        <w:t> </w:t>
      </w:r>
      <w:r>
        <w:rPr>
          <w:sz w:val="24"/>
        </w:rPr>
        <w:t>DC.</w:t>
      </w:r>
    </w:p>
    <w:p>
      <w:pPr>
        <w:spacing w:after="0" w:line="240" w:lineRule="auto"/>
        <w:jc w:val="left"/>
        <w:rPr>
          <w:sz w:val="24"/>
        </w:rPr>
        <w:sectPr>
          <w:footerReference w:type="default" r:id="rId6"/>
          <w:pgSz w:w="12240" w:h="15840"/>
          <w:pgMar w:footer="1006" w:header="0" w:top="1380" w:bottom="1200" w:left="1140" w:right="900"/>
          <w:pgNumType w:start="2"/>
        </w:sectPr>
      </w:pPr>
    </w:p>
    <w:p>
      <w:pPr>
        <w:pStyle w:val="ListParagraph"/>
        <w:numPr>
          <w:ilvl w:val="0"/>
          <w:numId w:val="1"/>
        </w:numPr>
        <w:tabs>
          <w:tab w:pos="1020" w:val="left" w:leader="none"/>
        </w:tabs>
        <w:spacing w:line="244" w:lineRule="auto" w:before="69" w:after="0"/>
        <w:ind w:left="1020" w:right="527" w:hanging="449"/>
        <w:jc w:val="both"/>
        <w:rPr>
          <w:sz w:val="24"/>
        </w:rPr>
      </w:pPr>
      <w:r>
        <w:rPr>
          <w:b/>
          <w:sz w:val="24"/>
        </w:rPr>
        <w:t>Product Code/Warehouse/Week </w:t>
      </w:r>
      <w:r>
        <w:rPr>
          <w:sz w:val="24"/>
        </w:rPr>
        <w:t>– The format used by the PLCB to express various supply chain values related to a particular product: the PLCB Code (item number), the specific DC where the product will be stored, and one calendar</w:t>
      </w:r>
      <w:r>
        <w:rPr>
          <w:spacing w:val="-7"/>
          <w:sz w:val="24"/>
        </w:rPr>
        <w:t> </w:t>
      </w:r>
      <w:r>
        <w:rPr>
          <w:sz w:val="24"/>
        </w:rPr>
        <w:t>week.</w:t>
      </w:r>
    </w:p>
    <w:p>
      <w:pPr>
        <w:pStyle w:val="ListParagraph"/>
        <w:numPr>
          <w:ilvl w:val="0"/>
          <w:numId w:val="1"/>
        </w:numPr>
        <w:tabs>
          <w:tab w:pos="1020" w:val="left" w:leader="none"/>
        </w:tabs>
        <w:spacing w:line="240" w:lineRule="auto" w:before="208" w:after="0"/>
        <w:ind w:left="1020" w:right="527" w:hanging="449"/>
        <w:jc w:val="both"/>
        <w:rPr>
          <w:sz w:val="24"/>
        </w:rPr>
      </w:pPr>
      <w:r>
        <w:rPr>
          <w:b/>
          <w:sz w:val="24"/>
        </w:rPr>
        <w:t>Recoup </w:t>
      </w:r>
      <w:r>
        <w:rPr>
          <w:sz w:val="24"/>
        </w:rPr>
        <w:t>– Any handling or reworking of product necessary to repair or correct damage or deficiency to render the product fit for</w:t>
      </w:r>
      <w:r>
        <w:rPr>
          <w:spacing w:val="-2"/>
          <w:sz w:val="24"/>
        </w:rPr>
        <w:t> </w:t>
      </w:r>
      <w:r>
        <w:rPr>
          <w:sz w:val="24"/>
        </w:rPr>
        <w:t>resale.</w:t>
      </w:r>
    </w:p>
    <w:p>
      <w:pPr>
        <w:pStyle w:val="ListParagraph"/>
        <w:numPr>
          <w:ilvl w:val="0"/>
          <w:numId w:val="1"/>
        </w:numPr>
        <w:tabs>
          <w:tab w:pos="1020" w:val="left" w:leader="none"/>
        </w:tabs>
        <w:spacing w:line="240" w:lineRule="auto" w:before="218" w:after="0"/>
        <w:ind w:left="1020" w:right="0" w:hanging="449"/>
        <w:jc w:val="left"/>
        <w:rPr>
          <w:sz w:val="24"/>
        </w:rPr>
      </w:pPr>
      <w:r>
        <w:rPr>
          <w:b/>
          <w:sz w:val="24"/>
        </w:rPr>
        <w:t>Salable Product </w:t>
      </w:r>
      <w:r>
        <w:rPr>
          <w:sz w:val="24"/>
        </w:rPr>
        <w:t>– Product that can be sold at full retail</w:t>
      </w:r>
      <w:r>
        <w:rPr>
          <w:spacing w:val="-4"/>
          <w:sz w:val="24"/>
        </w:rPr>
        <w:t> </w:t>
      </w:r>
      <w:r>
        <w:rPr>
          <w:sz w:val="24"/>
        </w:rPr>
        <w:t>price.</w:t>
      </w:r>
    </w:p>
    <w:p>
      <w:pPr>
        <w:pStyle w:val="ListParagraph"/>
        <w:numPr>
          <w:ilvl w:val="0"/>
          <w:numId w:val="1"/>
        </w:numPr>
        <w:tabs>
          <w:tab w:pos="1020" w:val="left" w:leader="none"/>
        </w:tabs>
        <w:spacing w:line="240" w:lineRule="auto" w:before="14" w:after="0"/>
        <w:ind w:left="1020" w:right="528" w:hanging="449"/>
        <w:jc w:val="both"/>
        <w:rPr>
          <w:sz w:val="24"/>
        </w:rPr>
      </w:pPr>
      <w:r>
        <w:rPr>
          <w:b/>
          <w:sz w:val="24"/>
        </w:rPr>
        <w:t>Shortage </w:t>
      </w:r>
      <w:r>
        <w:rPr>
          <w:sz w:val="24"/>
        </w:rPr>
        <w:t>– A physical quantity of a product which is less than ASN or PLCB records indicate.</w:t>
      </w:r>
    </w:p>
    <w:p>
      <w:pPr>
        <w:pStyle w:val="ListParagraph"/>
        <w:numPr>
          <w:ilvl w:val="0"/>
          <w:numId w:val="1"/>
        </w:numPr>
        <w:tabs>
          <w:tab w:pos="1020" w:val="left" w:leader="none"/>
        </w:tabs>
        <w:spacing w:line="244" w:lineRule="auto" w:before="218" w:after="0"/>
        <w:ind w:left="1020" w:right="524" w:hanging="449"/>
        <w:jc w:val="both"/>
        <w:rPr>
          <w:sz w:val="24"/>
        </w:rPr>
      </w:pPr>
      <w:r>
        <w:rPr>
          <w:b/>
          <w:sz w:val="24"/>
        </w:rPr>
        <w:t>SO </w:t>
      </w:r>
      <w:r>
        <w:rPr>
          <w:sz w:val="24"/>
        </w:rPr>
        <w:t>– Special Order, an order for a liquor product that is not listed for sale in the PLCB’s wine and spirits stores. Such orders are placed by the consumer and accepted by the Vendor.</w:t>
      </w:r>
    </w:p>
    <w:p>
      <w:pPr>
        <w:pStyle w:val="ListParagraph"/>
        <w:numPr>
          <w:ilvl w:val="0"/>
          <w:numId w:val="1"/>
        </w:numPr>
        <w:tabs>
          <w:tab w:pos="1020" w:val="left" w:leader="none"/>
        </w:tabs>
        <w:spacing w:line="240" w:lineRule="auto" w:before="9" w:after="0"/>
        <w:ind w:left="1020" w:right="523" w:hanging="449"/>
        <w:jc w:val="both"/>
        <w:rPr>
          <w:sz w:val="24"/>
        </w:rPr>
      </w:pPr>
      <w:r>
        <w:rPr>
          <w:b/>
          <w:sz w:val="24"/>
        </w:rPr>
        <w:t>Stock Merchandise </w:t>
      </w:r>
      <w:r>
        <w:rPr>
          <w:sz w:val="24"/>
        </w:rPr>
        <w:t>– Product that has been listed by the PLCB for sale in its wine and spirits stores and is replenished as it is</w:t>
      </w:r>
      <w:r>
        <w:rPr>
          <w:spacing w:val="-1"/>
          <w:sz w:val="24"/>
        </w:rPr>
        <w:t> </w:t>
      </w:r>
      <w:r>
        <w:rPr>
          <w:sz w:val="24"/>
        </w:rPr>
        <w:t>consumed.</w:t>
      </w:r>
    </w:p>
    <w:p>
      <w:pPr>
        <w:pStyle w:val="ListParagraph"/>
        <w:numPr>
          <w:ilvl w:val="0"/>
          <w:numId w:val="1"/>
        </w:numPr>
        <w:tabs>
          <w:tab w:pos="1020" w:val="left" w:leader="none"/>
        </w:tabs>
        <w:spacing w:line="242" w:lineRule="auto" w:before="218" w:after="0"/>
        <w:ind w:left="1020" w:right="525" w:hanging="449"/>
        <w:jc w:val="both"/>
        <w:rPr>
          <w:sz w:val="24"/>
        </w:rPr>
      </w:pPr>
      <w:r>
        <w:rPr>
          <w:b/>
          <w:sz w:val="24"/>
        </w:rPr>
        <w:t>Substantial</w:t>
      </w:r>
      <w:r>
        <w:rPr>
          <w:b/>
          <w:spacing w:val="-6"/>
          <w:sz w:val="24"/>
        </w:rPr>
        <w:t> </w:t>
      </w:r>
      <w:r>
        <w:rPr>
          <w:b/>
          <w:sz w:val="24"/>
        </w:rPr>
        <w:t>Damage</w:t>
      </w:r>
      <w:r>
        <w:rPr>
          <w:b/>
          <w:spacing w:val="-7"/>
          <w:sz w:val="24"/>
        </w:rPr>
        <w:t> </w:t>
      </w:r>
      <w:r>
        <w:rPr>
          <w:sz w:val="24"/>
        </w:rPr>
        <w:t>–</w:t>
      </w:r>
      <w:r>
        <w:rPr>
          <w:spacing w:val="-9"/>
          <w:sz w:val="24"/>
        </w:rPr>
        <w:t> </w:t>
      </w:r>
      <w:r>
        <w:rPr>
          <w:sz w:val="24"/>
        </w:rPr>
        <w:t>A</w:t>
      </w:r>
      <w:r>
        <w:rPr>
          <w:spacing w:val="-7"/>
          <w:sz w:val="24"/>
        </w:rPr>
        <w:t> </w:t>
      </w:r>
      <w:r>
        <w:rPr>
          <w:sz w:val="24"/>
        </w:rPr>
        <w:t>quantity</w:t>
      </w:r>
      <w:r>
        <w:rPr>
          <w:spacing w:val="-5"/>
          <w:sz w:val="24"/>
        </w:rPr>
        <w:t> </w:t>
      </w:r>
      <w:r>
        <w:rPr>
          <w:sz w:val="24"/>
        </w:rPr>
        <w:t>of</w:t>
      </w:r>
      <w:r>
        <w:rPr>
          <w:spacing w:val="-7"/>
          <w:sz w:val="24"/>
        </w:rPr>
        <w:t> </w:t>
      </w:r>
      <w:r>
        <w:rPr>
          <w:sz w:val="24"/>
        </w:rPr>
        <w:t>damage</w:t>
      </w:r>
      <w:r>
        <w:rPr>
          <w:spacing w:val="-7"/>
          <w:sz w:val="24"/>
        </w:rPr>
        <w:t> </w:t>
      </w:r>
      <w:r>
        <w:rPr>
          <w:sz w:val="24"/>
        </w:rPr>
        <w:t>sustained</w:t>
      </w:r>
      <w:r>
        <w:rPr>
          <w:spacing w:val="-6"/>
          <w:sz w:val="24"/>
        </w:rPr>
        <w:t> </w:t>
      </w:r>
      <w:r>
        <w:rPr>
          <w:sz w:val="24"/>
        </w:rPr>
        <w:t>by</w:t>
      </w:r>
      <w:r>
        <w:rPr>
          <w:spacing w:val="-5"/>
          <w:sz w:val="24"/>
        </w:rPr>
        <w:t> </w:t>
      </w:r>
      <w:r>
        <w:rPr>
          <w:sz w:val="24"/>
        </w:rPr>
        <w:t>the</w:t>
      </w:r>
      <w:r>
        <w:rPr>
          <w:spacing w:val="-7"/>
          <w:sz w:val="24"/>
        </w:rPr>
        <w:t> </w:t>
      </w:r>
      <w:r>
        <w:rPr>
          <w:sz w:val="24"/>
        </w:rPr>
        <w:t>contents</w:t>
      </w:r>
      <w:r>
        <w:rPr>
          <w:spacing w:val="-6"/>
          <w:sz w:val="24"/>
        </w:rPr>
        <w:t> </w:t>
      </w:r>
      <w:r>
        <w:rPr>
          <w:sz w:val="24"/>
        </w:rPr>
        <w:t>of</w:t>
      </w:r>
      <w:r>
        <w:rPr>
          <w:spacing w:val="-5"/>
          <w:sz w:val="24"/>
        </w:rPr>
        <w:t> </w:t>
      </w:r>
      <w:r>
        <w:rPr>
          <w:sz w:val="24"/>
        </w:rPr>
        <w:t>a</w:t>
      </w:r>
      <w:r>
        <w:rPr>
          <w:spacing w:val="-7"/>
          <w:sz w:val="24"/>
        </w:rPr>
        <w:t> </w:t>
      </w:r>
      <w:r>
        <w:rPr>
          <w:sz w:val="24"/>
        </w:rPr>
        <w:t>trailer</w:t>
      </w:r>
      <w:r>
        <w:rPr>
          <w:spacing w:val="-6"/>
          <w:sz w:val="24"/>
        </w:rPr>
        <w:t> </w:t>
      </w:r>
      <w:r>
        <w:rPr>
          <w:sz w:val="24"/>
        </w:rPr>
        <w:t>or</w:t>
      </w:r>
      <w:r>
        <w:rPr>
          <w:spacing w:val="-7"/>
          <w:sz w:val="24"/>
        </w:rPr>
        <w:t> </w:t>
      </w:r>
      <w:r>
        <w:rPr>
          <w:sz w:val="24"/>
        </w:rPr>
        <w:t>other container such that a visual review leads to a reasonable conclusion that recouping the number of damaged cases will require a significant investment of time and/or</w:t>
      </w:r>
      <w:r>
        <w:rPr>
          <w:spacing w:val="-14"/>
          <w:sz w:val="24"/>
        </w:rPr>
        <w:t> </w:t>
      </w:r>
      <w:r>
        <w:rPr>
          <w:sz w:val="24"/>
        </w:rPr>
        <w:t>effort.</w:t>
      </w:r>
    </w:p>
    <w:p>
      <w:pPr>
        <w:pStyle w:val="ListParagraph"/>
        <w:numPr>
          <w:ilvl w:val="0"/>
          <w:numId w:val="1"/>
        </w:numPr>
        <w:tabs>
          <w:tab w:pos="1020" w:val="left" w:leader="none"/>
        </w:tabs>
        <w:spacing w:line="244" w:lineRule="auto" w:before="219" w:after="0"/>
        <w:ind w:left="1019" w:right="524" w:hanging="449"/>
        <w:jc w:val="both"/>
        <w:rPr>
          <w:sz w:val="24"/>
        </w:rPr>
      </w:pPr>
      <w:r>
        <w:rPr>
          <w:b/>
          <w:sz w:val="24"/>
        </w:rPr>
        <w:t>Unsalable</w:t>
      </w:r>
      <w:r>
        <w:rPr>
          <w:b/>
          <w:spacing w:val="-10"/>
          <w:sz w:val="24"/>
        </w:rPr>
        <w:t> </w:t>
      </w:r>
      <w:r>
        <w:rPr>
          <w:b/>
          <w:sz w:val="24"/>
        </w:rPr>
        <w:t>Product</w:t>
      </w:r>
      <w:r>
        <w:rPr>
          <w:b/>
          <w:spacing w:val="-9"/>
          <w:sz w:val="24"/>
        </w:rPr>
        <w:t> </w:t>
      </w:r>
      <w:r>
        <w:rPr>
          <w:sz w:val="24"/>
        </w:rPr>
        <w:t>–</w:t>
      </w:r>
      <w:r>
        <w:rPr>
          <w:spacing w:val="-9"/>
          <w:sz w:val="24"/>
        </w:rPr>
        <w:t> </w:t>
      </w:r>
      <w:r>
        <w:rPr>
          <w:sz w:val="24"/>
        </w:rPr>
        <w:t>Product</w:t>
      </w:r>
      <w:r>
        <w:rPr>
          <w:spacing w:val="-8"/>
          <w:sz w:val="24"/>
        </w:rPr>
        <w:t> </w:t>
      </w:r>
      <w:r>
        <w:rPr>
          <w:sz w:val="24"/>
        </w:rPr>
        <w:t>that</w:t>
      </w:r>
      <w:r>
        <w:rPr>
          <w:spacing w:val="-7"/>
          <w:sz w:val="24"/>
        </w:rPr>
        <w:t> </w:t>
      </w:r>
      <w:r>
        <w:rPr>
          <w:sz w:val="24"/>
        </w:rPr>
        <w:t>is</w:t>
      </w:r>
      <w:r>
        <w:rPr>
          <w:spacing w:val="-8"/>
          <w:sz w:val="24"/>
        </w:rPr>
        <w:t> </w:t>
      </w:r>
      <w:r>
        <w:rPr>
          <w:sz w:val="24"/>
        </w:rPr>
        <w:t>not</w:t>
      </w:r>
      <w:r>
        <w:rPr>
          <w:spacing w:val="-6"/>
          <w:sz w:val="24"/>
        </w:rPr>
        <w:t> </w:t>
      </w:r>
      <w:r>
        <w:rPr>
          <w:sz w:val="24"/>
        </w:rPr>
        <w:t>fit</w:t>
      </w:r>
      <w:r>
        <w:rPr>
          <w:spacing w:val="-8"/>
          <w:sz w:val="24"/>
        </w:rPr>
        <w:t> </w:t>
      </w:r>
      <w:r>
        <w:rPr>
          <w:sz w:val="24"/>
        </w:rPr>
        <w:t>for</w:t>
      </w:r>
      <w:r>
        <w:rPr>
          <w:spacing w:val="-7"/>
          <w:sz w:val="24"/>
        </w:rPr>
        <w:t> </w:t>
      </w:r>
      <w:r>
        <w:rPr>
          <w:sz w:val="24"/>
        </w:rPr>
        <w:t>retail</w:t>
      </w:r>
      <w:r>
        <w:rPr>
          <w:spacing w:val="-7"/>
          <w:sz w:val="24"/>
        </w:rPr>
        <w:t> </w:t>
      </w:r>
      <w:r>
        <w:rPr>
          <w:sz w:val="24"/>
        </w:rPr>
        <w:t>sale</w:t>
      </w:r>
      <w:r>
        <w:rPr>
          <w:spacing w:val="-10"/>
          <w:sz w:val="24"/>
        </w:rPr>
        <w:t> </w:t>
      </w:r>
      <w:r>
        <w:rPr>
          <w:sz w:val="24"/>
        </w:rPr>
        <w:t>as</w:t>
      </w:r>
      <w:r>
        <w:rPr>
          <w:spacing w:val="-6"/>
          <w:sz w:val="24"/>
        </w:rPr>
        <w:t> </w:t>
      </w:r>
      <w:r>
        <w:rPr>
          <w:sz w:val="24"/>
        </w:rPr>
        <w:t>determined</w:t>
      </w:r>
      <w:r>
        <w:rPr>
          <w:spacing w:val="-6"/>
          <w:sz w:val="24"/>
        </w:rPr>
        <w:t> </w:t>
      </w:r>
      <w:r>
        <w:rPr>
          <w:sz w:val="24"/>
        </w:rPr>
        <w:t>by</w:t>
      </w:r>
      <w:r>
        <w:rPr>
          <w:spacing w:val="-9"/>
          <w:sz w:val="24"/>
        </w:rPr>
        <w:t> </w:t>
      </w:r>
      <w:r>
        <w:rPr>
          <w:sz w:val="24"/>
        </w:rPr>
        <w:t>the</w:t>
      </w:r>
      <w:r>
        <w:rPr>
          <w:spacing w:val="-9"/>
          <w:sz w:val="24"/>
        </w:rPr>
        <w:t> </w:t>
      </w:r>
      <w:r>
        <w:rPr>
          <w:sz w:val="24"/>
        </w:rPr>
        <w:t>PLCB.</w:t>
      </w:r>
      <w:r>
        <w:rPr>
          <w:spacing w:val="43"/>
          <w:sz w:val="24"/>
        </w:rPr>
        <w:t> </w:t>
      </w:r>
      <w:r>
        <w:rPr>
          <w:sz w:val="24"/>
        </w:rPr>
        <w:t>The term shall also include product that has been delisted by the PLCB, or product that is not sold by the</w:t>
      </w:r>
      <w:r>
        <w:rPr>
          <w:spacing w:val="-2"/>
          <w:sz w:val="24"/>
        </w:rPr>
        <w:t> </w:t>
      </w:r>
      <w:r>
        <w:rPr>
          <w:sz w:val="24"/>
        </w:rPr>
        <w:t>PLCB.</w:t>
      </w:r>
    </w:p>
    <w:p>
      <w:pPr>
        <w:pStyle w:val="ListParagraph"/>
        <w:numPr>
          <w:ilvl w:val="0"/>
          <w:numId w:val="1"/>
        </w:numPr>
        <w:tabs>
          <w:tab w:pos="1020" w:val="left" w:leader="none"/>
        </w:tabs>
        <w:spacing w:line="244" w:lineRule="auto" w:before="210" w:after="0"/>
        <w:ind w:left="1020" w:right="525" w:hanging="449"/>
        <w:jc w:val="both"/>
        <w:rPr>
          <w:sz w:val="24"/>
        </w:rPr>
      </w:pPr>
      <w:r>
        <w:rPr>
          <w:b/>
          <w:sz w:val="24"/>
        </w:rPr>
        <w:t>Vendor Collaboration Portal </w:t>
      </w:r>
      <w:r>
        <w:rPr>
          <w:sz w:val="24"/>
        </w:rPr>
        <w:t>– An interactive internet tool that will provide the Vendor with</w:t>
      </w:r>
      <w:r>
        <w:rPr>
          <w:spacing w:val="-4"/>
          <w:sz w:val="24"/>
        </w:rPr>
        <w:t> </w:t>
      </w:r>
      <w:r>
        <w:rPr>
          <w:sz w:val="24"/>
        </w:rPr>
        <w:t>a</w:t>
      </w:r>
      <w:r>
        <w:rPr>
          <w:spacing w:val="-4"/>
          <w:sz w:val="24"/>
        </w:rPr>
        <w:t> </w:t>
      </w:r>
      <w:r>
        <w:rPr>
          <w:sz w:val="24"/>
        </w:rPr>
        <w:t>means</w:t>
      </w:r>
      <w:r>
        <w:rPr>
          <w:spacing w:val="-3"/>
          <w:sz w:val="24"/>
        </w:rPr>
        <w:t> </w:t>
      </w:r>
      <w:r>
        <w:rPr>
          <w:sz w:val="24"/>
        </w:rPr>
        <w:t>to</w:t>
      </w:r>
      <w:r>
        <w:rPr>
          <w:spacing w:val="-3"/>
          <w:sz w:val="24"/>
        </w:rPr>
        <w:t> </w:t>
      </w:r>
      <w:r>
        <w:rPr>
          <w:sz w:val="24"/>
        </w:rPr>
        <w:t>send</w:t>
      </w:r>
      <w:r>
        <w:rPr>
          <w:spacing w:val="-4"/>
          <w:sz w:val="24"/>
        </w:rPr>
        <w:t> </w:t>
      </w:r>
      <w:r>
        <w:rPr>
          <w:sz w:val="24"/>
        </w:rPr>
        <w:t>ASN</w:t>
      </w:r>
      <w:r>
        <w:rPr>
          <w:spacing w:val="-3"/>
          <w:sz w:val="24"/>
        </w:rPr>
        <w:t> </w:t>
      </w:r>
      <w:r>
        <w:rPr>
          <w:sz w:val="24"/>
        </w:rPr>
        <w:t>information and</w:t>
      </w:r>
      <w:r>
        <w:rPr>
          <w:spacing w:val="-3"/>
          <w:sz w:val="24"/>
        </w:rPr>
        <w:t> </w:t>
      </w:r>
      <w:r>
        <w:rPr>
          <w:sz w:val="24"/>
        </w:rPr>
        <w:t>invoice</w:t>
      </w:r>
      <w:r>
        <w:rPr>
          <w:spacing w:val="-5"/>
          <w:sz w:val="24"/>
        </w:rPr>
        <w:t> </w:t>
      </w:r>
      <w:r>
        <w:rPr>
          <w:sz w:val="24"/>
        </w:rPr>
        <w:t>information to</w:t>
      </w:r>
      <w:r>
        <w:rPr>
          <w:spacing w:val="-3"/>
          <w:sz w:val="24"/>
        </w:rPr>
        <w:t> </w:t>
      </w:r>
      <w:r>
        <w:rPr>
          <w:sz w:val="24"/>
        </w:rPr>
        <w:t>the</w:t>
      </w:r>
      <w:r>
        <w:rPr>
          <w:spacing w:val="-4"/>
          <w:sz w:val="24"/>
        </w:rPr>
        <w:t> </w:t>
      </w:r>
      <w:r>
        <w:rPr>
          <w:sz w:val="24"/>
        </w:rPr>
        <w:t>PLCB,</w:t>
      </w:r>
      <w:r>
        <w:rPr>
          <w:spacing w:val="-4"/>
          <w:sz w:val="24"/>
        </w:rPr>
        <w:t> </w:t>
      </w:r>
      <w:r>
        <w:rPr>
          <w:sz w:val="24"/>
        </w:rPr>
        <w:t>as</w:t>
      </w:r>
      <w:r>
        <w:rPr>
          <w:spacing w:val="-3"/>
          <w:sz w:val="24"/>
        </w:rPr>
        <w:t> </w:t>
      </w:r>
      <w:r>
        <w:rPr>
          <w:sz w:val="24"/>
        </w:rPr>
        <w:t>well</w:t>
      </w:r>
      <w:r>
        <w:rPr>
          <w:spacing w:val="-2"/>
          <w:sz w:val="24"/>
        </w:rPr>
        <w:t> </w:t>
      </w:r>
      <w:r>
        <w:rPr>
          <w:sz w:val="24"/>
        </w:rPr>
        <w:t>as</w:t>
      </w:r>
      <w:r>
        <w:rPr>
          <w:spacing w:val="-3"/>
          <w:sz w:val="24"/>
        </w:rPr>
        <w:t> </w:t>
      </w:r>
      <w:r>
        <w:rPr>
          <w:sz w:val="24"/>
        </w:rPr>
        <w:t>to provide the following information: Point of Sale (“POS”) forecast information,</w:t>
      </w:r>
      <w:r>
        <w:rPr>
          <w:spacing w:val="-44"/>
          <w:sz w:val="24"/>
        </w:rPr>
        <w:t> </w:t>
      </w:r>
      <w:r>
        <w:rPr>
          <w:sz w:val="24"/>
        </w:rPr>
        <w:t>warehouse inventory information, historic sales information, purchase order information and vendor shipment</w:t>
      </w:r>
      <w:r>
        <w:rPr>
          <w:spacing w:val="-1"/>
          <w:sz w:val="24"/>
        </w:rPr>
        <w:t> </w:t>
      </w:r>
      <w:r>
        <w:rPr>
          <w:sz w:val="24"/>
        </w:rPr>
        <w:t>information.</w:t>
      </w:r>
    </w:p>
    <w:p>
      <w:pPr>
        <w:pStyle w:val="BodyText"/>
        <w:spacing w:before="5"/>
        <w:rPr>
          <w:sz w:val="27"/>
        </w:rPr>
      </w:pPr>
    </w:p>
    <w:p>
      <w:pPr>
        <w:pStyle w:val="BodyText"/>
        <w:ind w:left="288"/>
      </w:pPr>
      <w:r>
        <w:rPr/>
        <w:t>The PLCB and the Vendor agree to the following:</w:t>
      </w:r>
    </w:p>
    <w:p>
      <w:pPr>
        <w:pStyle w:val="BodyText"/>
        <w:spacing w:before="10"/>
        <w:rPr>
          <w:sz w:val="27"/>
        </w:rPr>
      </w:pPr>
    </w:p>
    <w:p>
      <w:pPr>
        <w:pStyle w:val="ListParagraph"/>
        <w:numPr>
          <w:ilvl w:val="0"/>
          <w:numId w:val="2"/>
        </w:numPr>
        <w:tabs>
          <w:tab w:pos="1019" w:val="left" w:leader="none"/>
          <w:tab w:pos="1020" w:val="left" w:leader="none"/>
        </w:tabs>
        <w:spacing w:line="240" w:lineRule="auto" w:before="0" w:after="0"/>
        <w:ind w:left="1020" w:right="523" w:hanging="720"/>
        <w:jc w:val="left"/>
        <w:rPr>
          <w:sz w:val="24"/>
        </w:rPr>
      </w:pPr>
      <w:r>
        <w:rPr>
          <w:sz w:val="24"/>
        </w:rPr>
        <w:t>The Vendor agrees to place into bailment, and the PLCB agrees to store at PLCB DCs, Stock</w:t>
      </w:r>
      <w:r>
        <w:rPr>
          <w:spacing w:val="-1"/>
          <w:sz w:val="24"/>
        </w:rPr>
        <w:t> </w:t>
      </w:r>
      <w:r>
        <w:rPr>
          <w:sz w:val="24"/>
        </w:rPr>
        <w:t>Merchandise.</w:t>
      </w:r>
    </w:p>
    <w:p>
      <w:pPr>
        <w:pStyle w:val="BodyText"/>
        <w:spacing w:before="5"/>
        <w:rPr>
          <w:sz w:val="28"/>
        </w:rPr>
      </w:pPr>
    </w:p>
    <w:p>
      <w:pPr>
        <w:pStyle w:val="ListParagraph"/>
        <w:numPr>
          <w:ilvl w:val="0"/>
          <w:numId w:val="2"/>
        </w:numPr>
        <w:tabs>
          <w:tab w:pos="1019" w:val="left" w:leader="none"/>
          <w:tab w:pos="1020" w:val="left" w:leader="none"/>
        </w:tabs>
        <w:spacing w:line="235" w:lineRule="auto" w:before="0" w:after="0"/>
        <w:ind w:left="1020" w:right="526" w:hanging="720"/>
        <w:jc w:val="left"/>
        <w:rPr>
          <w:sz w:val="24"/>
        </w:rPr>
      </w:pPr>
      <w:r>
        <w:rPr>
          <w:sz w:val="24"/>
        </w:rPr>
        <w:t>As</w:t>
      </w:r>
      <w:r>
        <w:rPr>
          <w:spacing w:val="-16"/>
          <w:sz w:val="24"/>
        </w:rPr>
        <w:t> </w:t>
      </w:r>
      <w:r>
        <w:rPr>
          <w:sz w:val="24"/>
        </w:rPr>
        <w:t>agreed</w:t>
      </w:r>
      <w:r>
        <w:rPr>
          <w:spacing w:val="-12"/>
          <w:sz w:val="24"/>
        </w:rPr>
        <w:t> </w:t>
      </w:r>
      <w:r>
        <w:rPr>
          <w:sz w:val="24"/>
        </w:rPr>
        <w:t>by</w:t>
      </w:r>
      <w:r>
        <w:rPr>
          <w:spacing w:val="-16"/>
          <w:sz w:val="24"/>
        </w:rPr>
        <w:t> </w:t>
      </w:r>
      <w:r>
        <w:rPr>
          <w:sz w:val="24"/>
        </w:rPr>
        <w:t>the</w:t>
      </w:r>
      <w:r>
        <w:rPr>
          <w:spacing w:val="-13"/>
          <w:sz w:val="24"/>
        </w:rPr>
        <w:t> </w:t>
      </w:r>
      <w:r>
        <w:rPr>
          <w:sz w:val="24"/>
        </w:rPr>
        <w:t>Vendor</w:t>
      </w:r>
      <w:r>
        <w:rPr>
          <w:spacing w:val="-13"/>
          <w:sz w:val="24"/>
        </w:rPr>
        <w:t> </w:t>
      </w:r>
      <w:r>
        <w:rPr>
          <w:sz w:val="24"/>
        </w:rPr>
        <w:t>and</w:t>
      </w:r>
      <w:r>
        <w:rPr>
          <w:spacing w:val="-16"/>
          <w:sz w:val="24"/>
        </w:rPr>
        <w:t> </w:t>
      </w:r>
      <w:r>
        <w:rPr>
          <w:sz w:val="24"/>
        </w:rPr>
        <w:t>the</w:t>
      </w:r>
      <w:r>
        <w:rPr>
          <w:spacing w:val="-13"/>
          <w:sz w:val="24"/>
        </w:rPr>
        <w:t> </w:t>
      </w:r>
      <w:r>
        <w:rPr>
          <w:sz w:val="24"/>
        </w:rPr>
        <w:t>PLCB,</w:t>
      </w:r>
      <w:r>
        <w:rPr>
          <w:spacing w:val="-15"/>
          <w:sz w:val="24"/>
        </w:rPr>
        <w:t> </w:t>
      </w:r>
      <w:r>
        <w:rPr>
          <w:sz w:val="24"/>
        </w:rPr>
        <w:t>the</w:t>
      </w:r>
      <w:r>
        <w:rPr>
          <w:spacing w:val="-17"/>
          <w:sz w:val="24"/>
        </w:rPr>
        <w:t> </w:t>
      </w:r>
      <w:r>
        <w:rPr>
          <w:sz w:val="24"/>
        </w:rPr>
        <w:t>Vendor</w:t>
      </w:r>
      <w:r>
        <w:rPr>
          <w:spacing w:val="-16"/>
          <w:sz w:val="24"/>
        </w:rPr>
        <w:t> </w:t>
      </w:r>
      <w:r>
        <w:rPr>
          <w:sz w:val="24"/>
        </w:rPr>
        <w:t>may</w:t>
      </w:r>
      <w:r>
        <w:rPr>
          <w:spacing w:val="-15"/>
          <w:sz w:val="24"/>
        </w:rPr>
        <w:t> </w:t>
      </w:r>
      <w:r>
        <w:rPr>
          <w:sz w:val="24"/>
        </w:rPr>
        <w:t>place</w:t>
      </w:r>
      <w:r>
        <w:rPr>
          <w:spacing w:val="-14"/>
          <w:sz w:val="24"/>
        </w:rPr>
        <w:t> </w:t>
      </w:r>
      <w:r>
        <w:rPr>
          <w:sz w:val="24"/>
        </w:rPr>
        <w:t>into</w:t>
      </w:r>
      <w:r>
        <w:rPr>
          <w:spacing w:val="-15"/>
          <w:sz w:val="24"/>
        </w:rPr>
        <w:t> </w:t>
      </w:r>
      <w:r>
        <w:rPr>
          <w:sz w:val="24"/>
        </w:rPr>
        <w:t>bailment,</w:t>
      </w:r>
      <w:r>
        <w:rPr>
          <w:spacing w:val="-16"/>
          <w:sz w:val="24"/>
        </w:rPr>
        <w:t> </w:t>
      </w:r>
      <w:r>
        <w:rPr>
          <w:sz w:val="24"/>
        </w:rPr>
        <w:t>and</w:t>
      </w:r>
      <w:r>
        <w:rPr>
          <w:spacing w:val="-15"/>
          <w:sz w:val="24"/>
        </w:rPr>
        <w:t> </w:t>
      </w:r>
      <w:r>
        <w:rPr>
          <w:sz w:val="24"/>
        </w:rPr>
        <w:t>the</w:t>
      </w:r>
      <w:r>
        <w:rPr>
          <w:spacing w:val="-16"/>
          <w:sz w:val="24"/>
        </w:rPr>
        <w:t> </w:t>
      </w:r>
      <w:r>
        <w:rPr>
          <w:sz w:val="24"/>
        </w:rPr>
        <w:t>PLCB may agree to store at PLCB DCs, Luxury</w:t>
      </w:r>
      <w:r>
        <w:rPr>
          <w:spacing w:val="-3"/>
          <w:sz w:val="24"/>
        </w:rPr>
        <w:t> </w:t>
      </w:r>
      <w:r>
        <w:rPr>
          <w:sz w:val="24"/>
        </w:rPr>
        <w:t>Merchandise.</w:t>
      </w:r>
    </w:p>
    <w:p>
      <w:pPr>
        <w:pStyle w:val="BodyText"/>
        <w:spacing w:before="10"/>
        <w:rPr>
          <w:sz w:val="27"/>
        </w:rPr>
      </w:pPr>
    </w:p>
    <w:p>
      <w:pPr>
        <w:pStyle w:val="ListParagraph"/>
        <w:numPr>
          <w:ilvl w:val="0"/>
          <w:numId w:val="2"/>
        </w:numPr>
        <w:tabs>
          <w:tab w:pos="1019" w:val="left" w:leader="none"/>
          <w:tab w:pos="1020" w:val="left" w:leader="none"/>
        </w:tabs>
        <w:spacing w:line="240" w:lineRule="auto" w:before="0" w:after="0"/>
        <w:ind w:left="1020" w:right="526" w:hanging="720"/>
        <w:jc w:val="left"/>
        <w:rPr>
          <w:sz w:val="24"/>
        </w:rPr>
      </w:pPr>
      <w:r>
        <w:rPr>
          <w:sz w:val="24"/>
        </w:rPr>
        <w:t>As</w:t>
      </w:r>
      <w:r>
        <w:rPr>
          <w:spacing w:val="-16"/>
          <w:sz w:val="24"/>
        </w:rPr>
        <w:t> </w:t>
      </w:r>
      <w:r>
        <w:rPr>
          <w:sz w:val="24"/>
        </w:rPr>
        <w:t>agreed</w:t>
      </w:r>
      <w:r>
        <w:rPr>
          <w:spacing w:val="-12"/>
          <w:sz w:val="24"/>
        </w:rPr>
        <w:t> </w:t>
      </w:r>
      <w:r>
        <w:rPr>
          <w:sz w:val="24"/>
        </w:rPr>
        <w:t>by</w:t>
      </w:r>
      <w:r>
        <w:rPr>
          <w:spacing w:val="-16"/>
          <w:sz w:val="24"/>
        </w:rPr>
        <w:t> </w:t>
      </w:r>
      <w:r>
        <w:rPr>
          <w:sz w:val="24"/>
        </w:rPr>
        <w:t>the</w:t>
      </w:r>
      <w:r>
        <w:rPr>
          <w:spacing w:val="-13"/>
          <w:sz w:val="24"/>
        </w:rPr>
        <w:t> </w:t>
      </w:r>
      <w:r>
        <w:rPr>
          <w:sz w:val="24"/>
        </w:rPr>
        <w:t>Vendor</w:t>
      </w:r>
      <w:r>
        <w:rPr>
          <w:spacing w:val="-13"/>
          <w:sz w:val="24"/>
        </w:rPr>
        <w:t> </w:t>
      </w:r>
      <w:r>
        <w:rPr>
          <w:sz w:val="24"/>
        </w:rPr>
        <w:t>and</w:t>
      </w:r>
      <w:r>
        <w:rPr>
          <w:spacing w:val="-16"/>
          <w:sz w:val="24"/>
        </w:rPr>
        <w:t> </w:t>
      </w:r>
      <w:r>
        <w:rPr>
          <w:sz w:val="24"/>
        </w:rPr>
        <w:t>the</w:t>
      </w:r>
      <w:r>
        <w:rPr>
          <w:spacing w:val="-13"/>
          <w:sz w:val="24"/>
        </w:rPr>
        <w:t> </w:t>
      </w:r>
      <w:r>
        <w:rPr>
          <w:sz w:val="24"/>
        </w:rPr>
        <w:t>PLCB,</w:t>
      </w:r>
      <w:r>
        <w:rPr>
          <w:spacing w:val="-15"/>
          <w:sz w:val="24"/>
        </w:rPr>
        <w:t> </w:t>
      </w:r>
      <w:r>
        <w:rPr>
          <w:sz w:val="24"/>
        </w:rPr>
        <w:t>the</w:t>
      </w:r>
      <w:r>
        <w:rPr>
          <w:spacing w:val="-17"/>
          <w:sz w:val="24"/>
        </w:rPr>
        <w:t> </w:t>
      </w:r>
      <w:r>
        <w:rPr>
          <w:sz w:val="24"/>
        </w:rPr>
        <w:t>Vendor</w:t>
      </w:r>
      <w:r>
        <w:rPr>
          <w:spacing w:val="-16"/>
          <w:sz w:val="24"/>
        </w:rPr>
        <w:t> </w:t>
      </w:r>
      <w:r>
        <w:rPr>
          <w:sz w:val="24"/>
        </w:rPr>
        <w:t>may</w:t>
      </w:r>
      <w:r>
        <w:rPr>
          <w:spacing w:val="-15"/>
          <w:sz w:val="24"/>
        </w:rPr>
        <w:t> </w:t>
      </w:r>
      <w:r>
        <w:rPr>
          <w:sz w:val="24"/>
        </w:rPr>
        <w:t>place</w:t>
      </w:r>
      <w:r>
        <w:rPr>
          <w:spacing w:val="-14"/>
          <w:sz w:val="24"/>
        </w:rPr>
        <w:t> </w:t>
      </w:r>
      <w:r>
        <w:rPr>
          <w:sz w:val="24"/>
        </w:rPr>
        <w:t>into</w:t>
      </w:r>
      <w:r>
        <w:rPr>
          <w:spacing w:val="-15"/>
          <w:sz w:val="24"/>
        </w:rPr>
        <w:t> </w:t>
      </w:r>
      <w:r>
        <w:rPr>
          <w:sz w:val="24"/>
        </w:rPr>
        <w:t>bailment,</w:t>
      </w:r>
      <w:r>
        <w:rPr>
          <w:spacing w:val="-16"/>
          <w:sz w:val="24"/>
        </w:rPr>
        <w:t> </w:t>
      </w:r>
      <w:r>
        <w:rPr>
          <w:sz w:val="24"/>
        </w:rPr>
        <w:t>and</w:t>
      </w:r>
      <w:r>
        <w:rPr>
          <w:spacing w:val="-15"/>
          <w:sz w:val="24"/>
        </w:rPr>
        <w:t> </w:t>
      </w:r>
      <w:r>
        <w:rPr>
          <w:sz w:val="24"/>
        </w:rPr>
        <w:t>the</w:t>
      </w:r>
      <w:r>
        <w:rPr>
          <w:spacing w:val="-16"/>
          <w:sz w:val="24"/>
        </w:rPr>
        <w:t> </w:t>
      </w:r>
      <w:r>
        <w:rPr>
          <w:sz w:val="24"/>
        </w:rPr>
        <w:t>PLCB may agree to store at PLCB DCs, product that may be used to fulfill Special</w:t>
      </w:r>
      <w:r>
        <w:rPr>
          <w:spacing w:val="-14"/>
          <w:sz w:val="24"/>
        </w:rPr>
        <w:t> </w:t>
      </w:r>
      <w:r>
        <w:rPr>
          <w:sz w:val="24"/>
        </w:rPr>
        <w:t>Orders.</w:t>
      </w:r>
    </w:p>
    <w:p>
      <w:pPr>
        <w:pStyle w:val="BodyText"/>
        <w:spacing w:before="8"/>
        <w:rPr>
          <w:sz w:val="27"/>
        </w:rPr>
      </w:pPr>
    </w:p>
    <w:p>
      <w:pPr>
        <w:pStyle w:val="ListParagraph"/>
        <w:numPr>
          <w:ilvl w:val="0"/>
          <w:numId w:val="2"/>
        </w:numPr>
        <w:tabs>
          <w:tab w:pos="1019" w:val="left" w:leader="none"/>
          <w:tab w:pos="1020" w:val="left" w:leader="none"/>
        </w:tabs>
        <w:spacing w:line="240" w:lineRule="auto" w:before="0" w:after="0"/>
        <w:ind w:left="1020" w:right="526" w:hanging="720"/>
        <w:jc w:val="left"/>
        <w:rPr>
          <w:sz w:val="24"/>
        </w:rPr>
      </w:pPr>
      <w:r>
        <w:rPr>
          <w:sz w:val="24"/>
        </w:rPr>
        <w:t>The Vendor understands that the PLCB currently utilizes multiple logistics providers to operate the third-party Distribution Centers. Each DC has a PLCB DC Manager and a</w:t>
      </w:r>
      <w:r>
        <w:rPr>
          <w:spacing w:val="-4"/>
          <w:sz w:val="24"/>
        </w:rPr>
        <w:t> </w:t>
      </w:r>
      <w:r>
        <w:rPr>
          <w:sz w:val="24"/>
        </w:rPr>
        <w:t>DC</w:t>
      </w:r>
    </w:p>
    <w:p>
      <w:pPr>
        <w:spacing w:after="0" w:line="240" w:lineRule="auto"/>
        <w:jc w:val="left"/>
        <w:rPr>
          <w:sz w:val="24"/>
        </w:rPr>
        <w:sectPr>
          <w:pgSz w:w="12240" w:h="15840"/>
          <w:pgMar w:header="0" w:footer="1006" w:top="1380" w:bottom="1200" w:left="1140" w:right="900"/>
        </w:sectPr>
      </w:pPr>
    </w:p>
    <w:p>
      <w:pPr>
        <w:pStyle w:val="BodyText"/>
        <w:spacing w:line="247" w:lineRule="auto" w:before="68"/>
        <w:ind w:left="1020" w:right="527"/>
        <w:jc w:val="both"/>
      </w:pPr>
      <w:r>
        <w:rPr/>
        <w:t>Operator Manager. The Vendor further understands that bailed product may be housed at the following locations, or at any other suitable location(s) identified by the PLCB as a “PLCB DC:”</w:t>
      </w:r>
    </w:p>
    <w:p>
      <w:pPr>
        <w:pStyle w:val="BodyText"/>
        <w:spacing w:before="1"/>
        <w:rPr>
          <w:sz w:val="27"/>
        </w:rPr>
      </w:pPr>
    </w:p>
    <w:p>
      <w:pPr>
        <w:spacing w:before="0"/>
        <w:ind w:left="1725" w:right="0" w:firstLine="0"/>
        <w:jc w:val="left"/>
        <w:rPr>
          <w:i/>
          <w:sz w:val="24"/>
        </w:rPr>
      </w:pPr>
      <w:r>
        <w:rPr>
          <w:i/>
          <w:sz w:val="24"/>
        </w:rPr>
        <w:t>DC 1: Philadelphia:</w:t>
      </w:r>
    </w:p>
    <w:p>
      <w:pPr>
        <w:pStyle w:val="BodyText"/>
        <w:spacing w:before="22"/>
        <w:ind w:left="2460"/>
      </w:pPr>
      <w:r>
        <w:rPr/>
        <w:t>8201 Enterprise Avenue</w:t>
      </w:r>
    </w:p>
    <w:p>
      <w:pPr>
        <w:pStyle w:val="BodyText"/>
        <w:spacing w:before="24"/>
        <w:ind w:left="2459"/>
      </w:pPr>
      <w:r>
        <w:rPr/>
        <w:t>Philadelphia, PA 19153-3896</w:t>
      </w:r>
    </w:p>
    <w:p>
      <w:pPr>
        <w:pStyle w:val="BodyText"/>
        <w:spacing w:before="8"/>
        <w:rPr>
          <w:sz w:val="27"/>
        </w:rPr>
      </w:pPr>
    </w:p>
    <w:p>
      <w:pPr>
        <w:spacing w:before="1"/>
        <w:ind w:left="1725" w:right="0" w:firstLine="0"/>
        <w:jc w:val="left"/>
        <w:rPr>
          <w:i/>
          <w:sz w:val="24"/>
        </w:rPr>
      </w:pPr>
      <w:r>
        <w:rPr>
          <w:i/>
          <w:sz w:val="24"/>
        </w:rPr>
        <w:t>DC 2: Scranton:</w:t>
      </w:r>
    </w:p>
    <w:p>
      <w:pPr>
        <w:pStyle w:val="BodyText"/>
        <w:spacing w:line="259" w:lineRule="auto" w:before="21"/>
        <w:ind w:left="2459" w:right="5448"/>
      </w:pPr>
      <w:r>
        <w:rPr/>
        <w:t>Kane Warehouse Inc. 24 Stauffer Drive</w:t>
      </w:r>
    </w:p>
    <w:p>
      <w:pPr>
        <w:pStyle w:val="BodyText"/>
        <w:spacing w:line="275" w:lineRule="exact"/>
        <w:ind w:left="2459"/>
      </w:pPr>
      <w:r>
        <w:rPr/>
        <w:t>Taylor, PA 18517-9694</w:t>
      </w:r>
    </w:p>
    <w:p>
      <w:pPr>
        <w:pStyle w:val="BodyText"/>
        <w:spacing w:before="9"/>
        <w:rPr>
          <w:sz w:val="27"/>
        </w:rPr>
      </w:pPr>
    </w:p>
    <w:p>
      <w:pPr>
        <w:tabs>
          <w:tab w:pos="2289" w:val="left" w:leader="none"/>
          <w:tab w:pos="2704" w:val="left" w:leader="none"/>
          <w:tab w:pos="4015" w:val="left" w:leader="none"/>
        </w:tabs>
        <w:spacing w:line="247" w:lineRule="auto" w:before="0"/>
        <w:ind w:left="2460" w:right="5199" w:hanging="720"/>
        <w:jc w:val="left"/>
        <w:rPr>
          <w:sz w:val="24"/>
        </w:rPr>
      </w:pPr>
      <w:r>
        <w:rPr>
          <w:i/>
          <w:sz w:val="24"/>
        </w:rPr>
        <w:t>DC</w:t>
        <w:tab/>
        <w:t>4:</w:t>
        <w:tab/>
        <w:t>Pittsburgh:</w:t>
        <w:tab/>
      </w:r>
      <w:r>
        <w:rPr>
          <w:spacing w:val="-3"/>
          <w:sz w:val="24"/>
        </w:rPr>
        <w:t>Papercraft </w:t>
      </w:r>
      <w:r>
        <w:rPr>
          <w:sz w:val="24"/>
        </w:rPr>
        <w:t>Building</w:t>
      </w:r>
    </w:p>
    <w:p>
      <w:pPr>
        <w:pStyle w:val="BodyText"/>
        <w:spacing w:before="3"/>
        <w:ind w:left="2460"/>
      </w:pPr>
      <w:r>
        <w:rPr/>
        <w:t>100 Papercraft Park</w:t>
      </w:r>
    </w:p>
    <w:p>
      <w:pPr>
        <w:pStyle w:val="BodyText"/>
        <w:spacing w:before="21"/>
        <w:ind w:left="2459"/>
      </w:pPr>
      <w:r>
        <w:rPr/>
        <w:t>Pittsburgh, PA 15238-3218</w:t>
      </w:r>
    </w:p>
    <w:p>
      <w:pPr>
        <w:pStyle w:val="BodyText"/>
        <w:spacing w:before="10"/>
        <w:rPr>
          <w:sz w:val="27"/>
        </w:rPr>
      </w:pPr>
    </w:p>
    <w:p>
      <w:pPr>
        <w:pStyle w:val="ListParagraph"/>
        <w:numPr>
          <w:ilvl w:val="0"/>
          <w:numId w:val="2"/>
        </w:numPr>
        <w:tabs>
          <w:tab w:pos="1020" w:val="left" w:leader="none"/>
        </w:tabs>
        <w:spacing w:line="244" w:lineRule="auto" w:before="0" w:after="0"/>
        <w:ind w:left="1020" w:right="523" w:hanging="720"/>
        <w:jc w:val="both"/>
        <w:rPr>
          <w:sz w:val="24"/>
        </w:rPr>
      </w:pPr>
      <w:r>
        <w:rPr>
          <w:sz w:val="24"/>
        </w:rPr>
        <w:t>The Vendor agrees that all Merchandise Purchase Orders are subject to the PLCB’s Standard Contract Terms and Conditions for Wine, Spirits and Accessories Purchase Orders, Form 54-FA-1.1, a copy of which is attached hereto as Appendix E and incorporated herein by</w:t>
      </w:r>
      <w:r>
        <w:rPr>
          <w:spacing w:val="1"/>
          <w:sz w:val="24"/>
        </w:rPr>
        <w:t> </w:t>
      </w:r>
      <w:r>
        <w:rPr>
          <w:sz w:val="24"/>
        </w:rPr>
        <w:t>reference.</w:t>
      </w:r>
    </w:p>
    <w:p>
      <w:pPr>
        <w:pStyle w:val="BodyText"/>
        <w:spacing w:before="5"/>
        <w:rPr>
          <w:sz w:val="27"/>
        </w:rPr>
      </w:pPr>
    </w:p>
    <w:p>
      <w:pPr>
        <w:pStyle w:val="ListParagraph"/>
        <w:numPr>
          <w:ilvl w:val="0"/>
          <w:numId w:val="2"/>
        </w:numPr>
        <w:tabs>
          <w:tab w:pos="1020" w:val="left" w:leader="none"/>
        </w:tabs>
        <w:spacing w:line="242" w:lineRule="auto" w:before="0" w:after="0"/>
        <w:ind w:left="1020" w:right="523" w:hanging="720"/>
        <w:jc w:val="both"/>
        <w:rPr>
          <w:sz w:val="24"/>
        </w:rPr>
      </w:pPr>
      <w:r>
        <w:rPr>
          <w:sz w:val="24"/>
        </w:rPr>
        <w:t>The Vendor agrees to give the PLCB standing authorization to remove bailed product stored in a PLCB DC for shipment to any retail outlet or licensee location. The Vendor is required to complete the “Bailment</w:t>
      </w:r>
      <w:r>
        <w:rPr>
          <w:spacing w:val="-1"/>
          <w:sz w:val="24"/>
        </w:rPr>
        <w:t> </w:t>
      </w:r>
      <w:r>
        <w:rPr>
          <w:sz w:val="24"/>
        </w:rPr>
        <w:t>Authorization</w:t>
      </w:r>
    </w:p>
    <w:p>
      <w:pPr>
        <w:pStyle w:val="BodyText"/>
        <w:spacing w:line="247" w:lineRule="auto" w:before="218"/>
        <w:ind w:left="1029" w:right="522" w:hanging="10"/>
        <w:jc w:val="both"/>
      </w:pPr>
      <w:r>
        <w:rPr/>
        <w:t>Form”</w:t>
      </w:r>
      <w:r>
        <w:rPr>
          <w:spacing w:val="-15"/>
        </w:rPr>
        <w:t> </w:t>
      </w:r>
      <w:r>
        <w:rPr/>
        <w:t>provided</w:t>
      </w:r>
      <w:r>
        <w:rPr>
          <w:spacing w:val="-13"/>
        </w:rPr>
        <w:t> </w:t>
      </w:r>
      <w:r>
        <w:rPr/>
        <w:t>by</w:t>
      </w:r>
      <w:r>
        <w:rPr>
          <w:spacing w:val="-13"/>
        </w:rPr>
        <w:t> </w:t>
      </w:r>
      <w:r>
        <w:rPr/>
        <w:t>the</w:t>
      </w:r>
      <w:r>
        <w:rPr>
          <w:spacing w:val="-14"/>
        </w:rPr>
        <w:t> </w:t>
      </w:r>
      <w:r>
        <w:rPr/>
        <w:t>PLCB.</w:t>
      </w:r>
      <w:r>
        <w:rPr>
          <w:spacing w:val="34"/>
        </w:rPr>
        <w:t> </w:t>
      </w:r>
      <w:r>
        <w:rPr/>
        <w:t>(See</w:t>
      </w:r>
      <w:r>
        <w:rPr>
          <w:spacing w:val="-15"/>
        </w:rPr>
        <w:t> </w:t>
      </w:r>
      <w:r>
        <w:rPr/>
        <w:t>Appendix</w:t>
      </w:r>
      <w:r>
        <w:rPr>
          <w:spacing w:val="-13"/>
        </w:rPr>
        <w:t> </w:t>
      </w:r>
      <w:r>
        <w:rPr/>
        <w:t>A).</w:t>
      </w:r>
      <w:r>
        <w:rPr>
          <w:spacing w:val="34"/>
        </w:rPr>
        <w:t> </w:t>
      </w:r>
      <w:r>
        <w:rPr/>
        <w:t>This</w:t>
      </w:r>
      <w:r>
        <w:rPr>
          <w:spacing w:val="-13"/>
        </w:rPr>
        <w:t> </w:t>
      </w:r>
      <w:r>
        <w:rPr/>
        <w:t>form</w:t>
      </w:r>
      <w:r>
        <w:rPr>
          <w:spacing w:val="-13"/>
        </w:rPr>
        <w:t> </w:t>
      </w:r>
      <w:r>
        <w:rPr/>
        <w:t>grants</w:t>
      </w:r>
      <w:r>
        <w:rPr>
          <w:spacing w:val="-14"/>
        </w:rPr>
        <w:t> </w:t>
      </w:r>
      <w:r>
        <w:rPr/>
        <w:t>the</w:t>
      </w:r>
      <w:r>
        <w:rPr>
          <w:spacing w:val="-14"/>
        </w:rPr>
        <w:t> </w:t>
      </w:r>
      <w:r>
        <w:rPr/>
        <w:t>PLCB</w:t>
      </w:r>
      <w:r>
        <w:rPr>
          <w:spacing w:val="-13"/>
        </w:rPr>
        <w:t> </w:t>
      </w:r>
      <w:r>
        <w:rPr/>
        <w:t>the</w:t>
      </w:r>
      <w:r>
        <w:rPr>
          <w:spacing w:val="-14"/>
        </w:rPr>
        <w:t> </w:t>
      </w:r>
      <w:r>
        <w:rPr/>
        <w:t>authority to effectuate the removal of the Vendor’s product from bailment on a shipment-by- shipment basis. The Vendor agrees that its designated representative will indicate its rejection,</w:t>
      </w:r>
      <w:r>
        <w:rPr>
          <w:spacing w:val="-5"/>
        </w:rPr>
        <w:t> </w:t>
      </w:r>
      <w:r>
        <w:rPr/>
        <w:t>in</w:t>
      </w:r>
      <w:r>
        <w:rPr>
          <w:spacing w:val="-4"/>
        </w:rPr>
        <w:t> </w:t>
      </w:r>
      <w:r>
        <w:rPr/>
        <w:t>whole</w:t>
      </w:r>
      <w:r>
        <w:rPr>
          <w:spacing w:val="-5"/>
        </w:rPr>
        <w:t> </w:t>
      </w:r>
      <w:r>
        <w:rPr/>
        <w:t>or</w:t>
      </w:r>
      <w:r>
        <w:rPr>
          <w:spacing w:val="-5"/>
        </w:rPr>
        <w:t> </w:t>
      </w:r>
      <w:r>
        <w:rPr/>
        <w:t>in</w:t>
      </w:r>
      <w:r>
        <w:rPr>
          <w:spacing w:val="-6"/>
        </w:rPr>
        <w:t> </w:t>
      </w:r>
      <w:r>
        <w:rPr/>
        <w:t>part,</w:t>
      </w:r>
      <w:r>
        <w:rPr>
          <w:spacing w:val="-4"/>
        </w:rPr>
        <w:t> </w:t>
      </w:r>
      <w:r>
        <w:rPr/>
        <w:t>of</w:t>
      </w:r>
      <w:r>
        <w:rPr>
          <w:spacing w:val="-5"/>
        </w:rPr>
        <w:t> </w:t>
      </w:r>
      <w:r>
        <w:rPr/>
        <w:t>a</w:t>
      </w:r>
      <w:r>
        <w:rPr>
          <w:spacing w:val="-5"/>
        </w:rPr>
        <w:t> </w:t>
      </w:r>
      <w:r>
        <w:rPr/>
        <w:t>PLCB</w:t>
      </w:r>
      <w:r>
        <w:rPr>
          <w:spacing w:val="-3"/>
        </w:rPr>
        <w:t> </w:t>
      </w:r>
      <w:r>
        <w:rPr/>
        <w:t>order</w:t>
      </w:r>
      <w:r>
        <w:rPr>
          <w:spacing w:val="-5"/>
        </w:rPr>
        <w:t> </w:t>
      </w:r>
      <w:r>
        <w:rPr/>
        <w:t>for</w:t>
      </w:r>
      <w:r>
        <w:rPr>
          <w:spacing w:val="-5"/>
        </w:rPr>
        <w:t> </w:t>
      </w:r>
      <w:r>
        <w:rPr/>
        <w:t>products</w:t>
      </w:r>
      <w:r>
        <w:rPr>
          <w:spacing w:val="-4"/>
        </w:rPr>
        <w:t> </w:t>
      </w:r>
      <w:r>
        <w:rPr/>
        <w:t>maintained</w:t>
      </w:r>
      <w:r>
        <w:rPr>
          <w:spacing w:val="-5"/>
        </w:rPr>
        <w:t> </w:t>
      </w:r>
      <w:r>
        <w:rPr/>
        <w:t>in</w:t>
      </w:r>
      <w:r>
        <w:rPr>
          <w:spacing w:val="-4"/>
        </w:rPr>
        <w:t> </w:t>
      </w:r>
      <w:r>
        <w:rPr/>
        <w:t>a</w:t>
      </w:r>
      <w:r>
        <w:rPr>
          <w:spacing w:val="-7"/>
        </w:rPr>
        <w:t> </w:t>
      </w:r>
      <w:r>
        <w:rPr/>
        <w:t>DC</w:t>
      </w:r>
      <w:r>
        <w:rPr>
          <w:spacing w:val="-3"/>
        </w:rPr>
        <w:t> </w:t>
      </w:r>
      <w:r>
        <w:rPr/>
        <w:t>within</w:t>
      </w:r>
      <w:r>
        <w:rPr>
          <w:spacing w:val="-6"/>
        </w:rPr>
        <w:t> </w:t>
      </w:r>
      <w:r>
        <w:rPr/>
        <w:t>two hours of receipt of the order, or the PLCB’s order will be deemed to have been</w:t>
      </w:r>
      <w:r>
        <w:rPr>
          <w:spacing w:val="-15"/>
        </w:rPr>
        <w:t> </w:t>
      </w:r>
      <w:r>
        <w:rPr/>
        <w:t>accepted.</w:t>
      </w:r>
    </w:p>
    <w:p>
      <w:pPr>
        <w:pStyle w:val="BodyText"/>
        <w:spacing w:before="3"/>
        <w:rPr>
          <w:sz w:val="27"/>
        </w:rPr>
      </w:pPr>
    </w:p>
    <w:p>
      <w:pPr>
        <w:pStyle w:val="BodyText"/>
        <w:spacing w:line="247" w:lineRule="auto"/>
        <w:ind w:left="1029" w:right="526" w:hanging="10"/>
        <w:jc w:val="both"/>
      </w:pPr>
      <w:r>
        <w:rPr/>
        <w:t>The</w:t>
      </w:r>
      <w:r>
        <w:rPr>
          <w:spacing w:val="-5"/>
        </w:rPr>
        <w:t> </w:t>
      </w:r>
      <w:r>
        <w:rPr/>
        <w:t>Vendor</w:t>
      </w:r>
      <w:r>
        <w:rPr>
          <w:spacing w:val="-1"/>
        </w:rPr>
        <w:t> </w:t>
      </w:r>
      <w:r>
        <w:rPr/>
        <w:t>agrees</w:t>
      </w:r>
      <w:r>
        <w:rPr>
          <w:spacing w:val="-4"/>
        </w:rPr>
        <w:t> </w:t>
      </w:r>
      <w:r>
        <w:rPr/>
        <w:t>that,</w:t>
      </w:r>
      <w:r>
        <w:rPr>
          <w:spacing w:val="-3"/>
        </w:rPr>
        <w:t> </w:t>
      </w:r>
      <w:r>
        <w:rPr/>
        <w:t>in</w:t>
      </w:r>
      <w:r>
        <w:rPr>
          <w:spacing w:val="-4"/>
        </w:rPr>
        <w:t> </w:t>
      </w:r>
      <w:r>
        <w:rPr/>
        <w:t>the</w:t>
      </w:r>
      <w:r>
        <w:rPr>
          <w:spacing w:val="-4"/>
        </w:rPr>
        <w:t> </w:t>
      </w:r>
      <w:r>
        <w:rPr/>
        <w:t>event</w:t>
      </w:r>
      <w:r>
        <w:rPr>
          <w:spacing w:val="-2"/>
        </w:rPr>
        <w:t> </w:t>
      </w:r>
      <w:r>
        <w:rPr/>
        <w:t>that</w:t>
      </w:r>
      <w:r>
        <w:rPr>
          <w:spacing w:val="-3"/>
        </w:rPr>
        <w:t> </w:t>
      </w:r>
      <w:r>
        <w:rPr/>
        <w:t>the</w:t>
      </w:r>
      <w:r>
        <w:rPr>
          <w:spacing w:val="-1"/>
        </w:rPr>
        <w:t> </w:t>
      </w:r>
      <w:r>
        <w:rPr/>
        <w:t>Vendor</w:t>
      </w:r>
      <w:r>
        <w:rPr>
          <w:spacing w:val="-5"/>
        </w:rPr>
        <w:t> </w:t>
      </w:r>
      <w:r>
        <w:rPr/>
        <w:t>decides</w:t>
      </w:r>
      <w:r>
        <w:rPr>
          <w:spacing w:val="-3"/>
        </w:rPr>
        <w:t> </w:t>
      </w:r>
      <w:r>
        <w:rPr/>
        <w:t>to</w:t>
      </w:r>
      <w:r>
        <w:rPr>
          <w:spacing w:val="-4"/>
        </w:rPr>
        <w:t> </w:t>
      </w:r>
      <w:r>
        <w:rPr/>
        <w:t>rescind,</w:t>
      </w:r>
      <w:r>
        <w:rPr>
          <w:spacing w:val="-3"/>
        </w:rPr>
        <w:t> </w:t>
      </w:r>
      <w:r>
        <w:rPr/>
        <w:t>on</w:t>
      </w:r>
      <w:r>
        <w:rPr>
          <w:spacing w:val="2"/>
        </w:rPr>
        <w:t> </w:t>
      </w:r>
      <w:r>
        <w:rPr/>
        <w:t>a</w:t>
      </w:r>
      <w:r>
        <w:rPr>
          <w:spacing w:val="-5"/>
        </w:rPr>
        <w:t> </w:t>
      </w:r>
      <w:r>
        <w:rPr/>
        <w:t>permanent</w:t>
      </w:r>
      <w:r>
        <w:rPr>
          <w:spacing w:val="-2"/>
        </w:rPr>
        <w:t> </w:t>
      </w:r>
      <w:r>
        <w:rPr/>
        <w:t>or temporary basis, the PLCB’s standing authorization to remove bailed product, its designated representative will provide written notice to the PLCB at least three business days prior to the effective date of such</w:t>
      </w:r>
      <w:r>
        <w:rPr>
          <w:spacing w:val="-6"/>
        </w:rPr>
        <w:t> </w:t>
      </w:r>
      <w:r>
        <w:rPr/>
        <w:t>rescission.</w:t>
      </w:r>
    </w:p>
    <w:p>
      <w:pPr>
        <w:pStyle w:val="BodyText"/>
        <w:spacing w:line="247" w:lineRule="auto" w:before="3"/>
        <w:ind w:left="309" w:right="531" w:hanging="10"/>
        <w:jc w:val="both"/>
      </w:pPr>
      <w:r>
        <w:rPr/>
        <w:t>In the event that the Vendor needs to rescind the PLCB’s standing authorization to remove bailed product for reasons of product quality or safety, the PLCB shall not require three business days written notice.</w:t>
      </w:r>
    </w:p>
    <w:p>
      <w:pPr>
        <w:pStyle w:val="BodyText"/>
        <w:spacing w:before="4"/>
        <w:rPr>
          <w:sz w:val="27"/>
        </w:rPr>
      </w:pPr>
    </w:p>
    <w:p>
      <w:pPr>
        <w:pStyle w:val="ListParagraph"/>
        <w:numPr>
          <w:ilvl w:val="0"/>
          <w:numId w:val="2"/>
        </w:numPr>
        <w:tabs>
          <w:tab w:pos="1020" w:val="left" w:leader="none"/>
        </w:tabs>
        <w:spacing w:line="244" w:lineRule="auto" w:before="0" w:after="0"/>
        <w:ind w:left="1020" w:right="523" w:hanging="720"/>
        <w:jc w:val="both"/>
        <w:rPr>
          <w:sz w:val="24"/>
        </w:rPr>
      </w:pPr>
      <w:r>
        <w:rPr>
          <w:sz w:val="24"/>
        </w:rPr>
        <w:t>At least two business days before the anticipated date of receipt, the Vendor will send to the</w:t>
      </w:r>
      <w:r>
        <w:rPr>
          <w:spacing w:val="-7"/>
          <w:sz w:val="24"/>
        </w:rPr>
        <w:t> </w:t>
      </w:r>
      <w:r>
        <w:rPr>
          <w:sz w:val="24"/>
        </w:rPr>
        <w:t>PLCB</w:t>
      </w:r>
      <w:r>
        <w:rPr>
          <w:spacing w:val="-6"/>
          <w:sz w:val="24"/>
        </w:rPr>
        <w:t> </w:t>
      </w:r>
      <w:r>
        <w:rPr>
          <w:sz w:val="24"/>
        </w:rPr>
        <w:t>DC</w:t>
      </w:r>
      <w:r>
        <w:rPr>
          <w:spacing w:val="-6"/>
          <w:sz w:val="24"/>
        </w:rPr>
        <w:t> </w:t>
      </w:r>
      <w:r>
        <w:rPr>
          <w:sz w:val="24"/>
        </w:rPr>
        <w:t>an</w:t>
      </w:r>
      <w:r>
        <w:rPr>
          <w:spacing w:val="-6"/>
          <w:sz w:val="24"/>
        </w:rPr>
        <w:t> </w:t>
      </w:r>
      <w:r>
        <w:rPr>
          <w:sz w:val="24"/>
        </w:rPr>
        <w:t>ASN</w:t>
      </w:r>
      <w:r>
        <w:rPr>
          <w:spacing w:val="-7"/>
          <w:sz w:val="24"/>
        </w:rPr>
        <w:t> </w:t>
      </w:r>
      <w:r>
        <w:rPr>
          <w:sz w:val="24"/>
        </w:rPr>
        <w:t>detailing</w:t>
      </w:r>
      <w:r>
        <w:rPr>
          <w:spacing w:val="-6"/>
          <w:sz w:val="24"/>
        </w:rPr>
        <w:t> </w:t>
      </w:r>
      <w:r>
        <w:rPr>
          <w:sz w:val="24"/>
        </w:rPr>
        <w:t>the</w:t>
      </w:r>
      <w:r>
        <w:rPr>
          <w:spacing w:val="-7"/>
          <w:sz w:val="24"/>
        </w:rPr>
        <w:t> </w:t>
      </w:r>
      <w:r>
        <w:rPr>
          <w:sz w:val="24"/>
        </w:rPr>
        <w:t>product</w:t>
      </w:r>
      <w:r>
        <w:rPr>
          <w:spacing w:val="-6"/>
          <w:sz w:val="24"/>
        </w:rPr>
        <w:t> </w:t>
      </w:r>
      <w:r>
        <w:rPr>
          <w:sz w:val="24"/>
        </w:rPr>
        <w:t>it</w:t>
      </w:r>
      <w:r>
        <w:rPr>
          <w:spacing w:val="-6"/>
          <w:sz w:val="24"/>
        </w:rPr>
        <w:t> </w:t>
      </w:r>
      <w:r>
        <w:rPr>
          <w:sz w:val="24"/>
        </w:rPr>
        <w:t>is</w:t>
      </w:r>
      <w:r>
        <w:rPr>
          <w:spacing w:val="-6"/>
          <w:sz w:val="24"/>
        </w:rPr>
        <w:t> </w:t>
      </w:r>
      <w:r>
        <w:rPr>
          <w:sz w:val="24"/>
        </w:rPr>
        <w:t>shipping</w:t>
      </w:r>
      <w:r>
        <w:rPr>
          <w:spacing w:val="-6"/>
          <w:sz w:val="24"/>
        </w:rPr>
        <w:t> </w:t>
      </w:r>
      <w:r>
        <w:rPr>
          <w:sz w:val="24"/>
        </w:rPr>
        <w:t>to</w:t>
      </w:r>
      <w:r>
        <w:rPr>
          <w:spacing w:val="-6"/>
          <w:sz w:val="24"/>
        </w:rPr>
        <w:t> </w:t>
      </w:r>
      <w:r>
        <w:rPr>
          <w:sz w:val="24"/>
        </w:rPr>
        <w:t>the</w:t>
      </w:r>
      <w:r>
        <w:rPr>
          <w:spacing w:val="-7"/>
          <w:sz w:val="24"/>
        </w:rPr>
        <w:t> </w:t>
      </w:r>
      <w:r>
        <w:rPr>
          <w:sz w:val="24"/>
        </w:rPr>
        <w:t>PLCB</w:t>
      </w:r>
      <w:r>
        <w:rPr>
          <w:spacing w:val="-6"/>
          <w:sz w:val="24"/>
        </w:rPr>
        <w:t> </w:t>
      </w:r>
      <w:r>
        <w:rPr>
          <w:sz w:val="24"/>
        </w:rPr>
        <w:t>DC.</w:t>
      </w:r>
      <w:r>
        <w:rPr>
          <w:spacing w:val="46"/>
          <w:sz w:val="24"/>
        </w:rPr>
        <w:t> </w:t>
      </w:r>
      <w:r>
        <w:rPr>
          <w:sz w:val="24"/>
        </w:rPr>
        <w:t>The</w:t>
      </w:r>
      <w:r>
        <w:rPr>
          <w:spacing w:val="-7"/>
          <w:sz w:val="24"/>
        </w:rPr>
        <w:t> </w:t>
      </w:r>
      <w:r>
        <w:rPr>
          <w:sz w:val="24"/>
        </w:rPr>
        <w:t>ASN</w:t>
      </w:r>
      <w:r>
        <w:rPr>
          <w:spacing w:val="-7"/>
          <w:sz w:val="24"/>
        </w:rPr>
        <w:t> </w:t>
      </w:r>
      <w:r>
        <w:rPr>
          <w:sz w:val="24"/>
        </w:rPr>
        <w:t>may be sent either by entering the information on the Vendor Collaboration Portal</w:t>
      </w:r>
      <w:r>
        <w:rPr>
          <w:spacing w:val="47"/>
          <w:sz w:val="24"/>
        </w:rPr>
        <w:t> </w:t>
      </w:r>
      <w:r>
        <w:rPr>
          <w:sz w:val="24"/>
        </w:rPr>
        <w:t>(see</w:t>
      </w:r>
    </w:p>
    <w:p>
      <w:pPr>
        <w:spacing w:after="0" w:line="244" w:lineRule="auto"/>
        <w:jc w:val="both"/>
        <w:rPr>
          <w:sz w:val="24"/>
        </w:rPr>
        <w:sectPr>
          <w:pgSz w:w="12240" w:h="15840"/>
          <w:pgMar w:header="0" w:footer="1006" w:top="1380" w:bottom="1200" w:left="1140" w:right="900"/>
        </w:sectPr>
      </w:pPr>
    </w:p>
    <w:p>
      <w:pPr>
        <w:pStyle w:val="BodyText"/>
        <w:spacing w:line="247" w:lineRule="auto" w:before="68"/>
        <w:ind w:left="1020" w:right="523"/>
        <w:jc w:val="both"/>
      </w:pPr>
      <w:r>
        <w:rPr/>
        <w:t>Paragraphs 22 and 23) or by industry standard EDI. The entry of an ASN into the PLCB system will create a shipment number used for scheduling inbound shipments to the DC. The Vendor shall contact the receiving scheduler at the DC to schedule the delivery to the DC. The shipment number must be shown on shipping paperwork. The granting of delivery appointments is dependent upon the PLCB DC’s schedule. Appropriate lead time should be provided when planning replenishment shipments so that receiving constraints do not impact product availability for shipment to PLCB stores.</w:t>
      </w:r>
    </w:p>
    <w:p>
      <w:pPr>
        <w:pStyle w:val="BodyText"/>
        <w:spacing w:before="7"/>
        <w:rPr>
          <w:sz w:val="27"/>
        </w:rPr>
      </w:pPr>
    </w:p>
    <w:p>
      <w:pPr>
        <w:pStyle w:val="ListParagraph"/>
        <w:numPr>
          <w:ilvl w:val="0"/>
          <w:numId w:val="2"/>
        </w:numPr>
        <w:tabs>
          <w:tab w:pos="1020" w:val="left" w:leader="none"/>
        </w:tabs>
        <w:spacing w:line="247" w:lineRule="auto" w:before="1" w:after="0"/>
        <w:ind w:left="1020" w:right="523" w:hanging="720"/>
        <w:jc w:val="both"/>
        <w:rPr>
          <w:sz w:val="24"/>
        </w:rPr>
      </w:pPr>
      <w:r>
        <w:rPr>
          <w:sz w:val="24"/>
        </w:rPr>
        <w:t>Receiving</w:t>
      </w:r>
      <w:r>
        <w:rPr>
          <w:spacing w:val="-9"/>
          <w:sz w:val="24"/>
        </w:rPr>
        <w:t> </w:t>
      </w:r>
      <w:r>
        <w:rPr>
          <w:sz w:val="24"/>
        </w:rPr>
        <w:t>hours</w:t>
      </w:r>
      <w:r>
        <w:rPr>
          <w:spacing w:val="-8"/>
          <w:sz w:val="24"/>
        </w:rPr>
        <w:t> </w:t>
      </w:r>
      <w:r>
        <w:rPr>
          <w:sz w:val="24"/>
        </w:rPr>
        <w:t>at</w:t>
      </w:r>
      <w:r>
        <w:rPr>
          <w:spacing w:val="-8"/>
          <w:sz w:val="24"/>
        </w:rPr>
        <w:t> </w:t>
      </w:r>
      <w:r>
        <w:rPr>
          <w:sz w:val="24"/>
        </w:rPr>
        <w:t>the</w:t>
      </w:r>
      <w:r>
        <w:rPr>
          <w:spacing w:val="-10"/>
          <w:sz w:val="24"/>
        </w:rPr>
        <w:t> </w:t>
      </w:r>
      <w:r>
        <w:rPr>
          <w:sz w:val="24"/>
        </w:rPr>
        <w:t>PLCB</w:t>
      </w:r>
      <w:r>
        <w:rPr>
          <w:spacing w:val="-8"/>
          <w:sz w:val="24"/>
        </w:rPr>
        <w:t> </w:t>
      </w:r>
      <w:r>
        <w:rPr>
          <w:sz w:val="24"/>
        </w:rPr>
        <w:t>DCs</w:t>
      </w:r>
      <w:r>
        <w:rPr>
          <w:spacing w:val="-8"/>
          <w:sz w:val="24"/>
        </w:rPr>
        <w:t> </w:t>
      </w:r>
      <w:r>
        <w:rPr>
          <w:sz w:val="24"/>
        </w:rPr>
        <w:t>are</w:t>
      </w:r>
      <w:r>
        <w:rPr>
          <w:spacing w:val="-10"/>
          <w:sz w:val="24"/>
        </w:rPr>
        <w:t> </w:t>
      </w:r>
      <w:r>
        <w:rPr>
          <w:sz w:val="24"/>
        </w:rPr>
        <w:t>designated</w:t>
      </w:r>
      <w:r>
        <w:rPr>
          <w:spacing w:val="-6"/>
          <w:sz w:val="24"/>
        </w:rPr>
        <w:t> </w:t>
      </w:r>
      <w:r>
        <w:rPr>
          <w:sz w:val="24"/>
        </w:rPr>
        <w:t>by</w:t>
      </w:r>
      <w:r>
        <w:rPr>
          <w:spacing w:val="-9"/>
          <w:sz w:val="24"/>
        </w:rPr>
        <w:t> </w:t>
      </w:r>
      <w:r>
        <w:rPr>
          <w:sz w:val="24"/>
        </w:rPr>
        <w:t>the</w:t>
      </w:r>
      <w:r>
        <w:rPr>
          <w:spacing w:val="-10"/>
          <w:sz w:val="24"/>
        </w:rPr>
        <w:t> </w:t>
      </w:r>
      <w:r>
        <w:rPr>
          <w:sz w:val="24"/>
        </w:rPr>
        <w:t>PLCB.</w:t>
      </w:r>
      <w:r>
        <w:rPr>
          <w:spacing w:val="43"/>
          <w:sz w:val="24"/>
        </w:rPr>
        <w:t> </w:t>
      </w:r>
      <w:r>
        <w:rPr>
          <w:sz w:val="24"/>
        </w:rPr>
        <w:t>There</w:t>
      </w:r>
      <w:r>
        <w:rPr>
          <w:spacing w:val="-10"/>
          <w:sz w:val="24"/>
        </w:rPr>
        <w:t> </w:t>
      </w:r>
      <w:r>
        <w:rPr>
          <w:sz w:val="24"/>
        </w:rPr>
        <w:t>will</w:t>
      </w:r>
      <w:r>
        <w:rPr>
          <w:spacing w:val="-8"/>
          <w:sz w:val="24"/>
        </w:rPr>
        <w:t> </w:t>
      </w:r>
      <w:r>
        <w:rPr>
          <w:sz w:val="24"/>
        </w:rPr>
        <w:t>be</w:t>
      </w:r>
      <w:r>
        <w:rPr>
          <w:spacing w:val="-10"/>
          <w:sz w:val="24"/>
        </w:rPr>
        <w:t> </w:t>
      </w:r>
      <w:r>
        <w:rPr>
          <w:sz w:val="24"/>
        </w:rPr>
        <w:t>no</w:t>
      </w:r>
      <w:r>
        <w:rPr>
          <w:spacing w:val="-9"/>
          <w:sz w:val="24"/>
        </w:rPr>
        <w:t> </w:t>
      </w:r>
      <w:r>
        <w:rPr>
          <w:sz w:val="24"/>
        </w:rPr>
        <w:t>receiving on Saturdays, Sundays, or designated holidays. (See Appendix B). The PLCB reserves the</w:t>
      </w:r>
      <w:r>
        <w:rPr>
          <w:spacing w:val="-8"/>
          <w:sz w:val="24"/>
        </w:rPr>
        <w:t> </w:t>
      </w:r>
      <w:r>
        <w:rPr>
          <w:sz w:val="24"/>
        </w:rPr>
        <w:t>right</w:t>
      </w:r>
      <w:r>
        <w:rPr>
          <w:spacing w:val="-6"/>
          <w:sz w:val="24"/>
        </w:rPr>
        <w:t> </w:t>
      </w:r>
      <w:r>
        <w:rPr>
          <w:sz w:val="24"/>
        </w:rPr>
        <w:t>to</w:t>
      </w:r>
      <w:r>
        <w:rPr>
          <w:spacing w:val="-7"/>
          <w:sz w:val="24"/>
        </w:rPr>
        <w:t> </w:t>
      </w:r>
      <w:r>
        <w:rPr>
          <w:sz w:val="24"/>
        </w:rPr>
        <w:t>change</w:t>
      </w:r>
      <w:r>
        <w:rPr>
          <w:spacing w:val="-7"/>
          <w:sz w:val="24"/>
        </w:rPr>
        <w:t> </w:t>
      </w:r>
      <w:r>
        <w:rPr>
          <w:sz w:val="24"/>
        </w:rPr>
        <w:t>receiving</w:t>
      </w:r>
      <w:r>
        <w:rPr>
          <w:spacing w:val="-6"/>
          <w:sz w:val="24"/>
        </w:rPr>
        <w:t> </w:t>
      </w:r>
      <w:r>
        <w:rPr>
          <w:sz w:val="24"/>
        </w:rPr>
        <w:t>hours</w:t>
      </w:r>
      <w:r>
        <w:rPr>
          <w:spacing w:val="-7"/>
          <w:sz w:val="24"/>
        </w:rPr>
        <w:t> </w:t>
      </w:r>
      <w:r>
        <w:rPr>
          <w:sz w:val="24"/>
        </w:rPr>
        <w:t>to</w:t>
      </w:r>
      <w:r>
        <w:rPr>
          <w:spacing w:val="-6"/>
          <w:sz w:val="24"/>
        </w:rPr>
        <w:t> </w:t>
      </w:r>
      <w:r>
        <w:rPr>
          <w:sz w:val="24"/>
        </w:rPr>
        <w:t>better</w:t>
      </w:r>
      <w:r>
        <w:rPr>
          <w:spacing w:val="-7"/>
          <w:sz w:val="24"/>
        </w:rPr>
        <w:t> </w:t>
      </w:r>
      <w:r>
        <w:rPr>
          <w:sz w:val="24"/>
        </w:rPr>
        <w:t>suit</w:t>
      </w:r>
      <w:r>
        <w:rPr>
          <w:spacing w:val="-7"/>
          <w:sz w:val="24"/>
        </w:rPr>
        <w:t> </w:t>
      </w:r>
      <w:r>
        <w:rPr>
          <w:sz w:val="24"/>
        </w:rPr>
        <w:t>its</w:t>
      </w:r>
      <w:r>
        <w:rPr>
          <w:spacing w:val="-8"/>
          <w:sz w:val="24"/>
        </w:rPr>
        <w:t> </w:t>
      </w:r>
      <w:r>
        <w:rPr>
          <w:sz w:val="24"/>
        </w:rPr>
        <w:t>needs</w:t>
      </w:r>
      <w:r>
        <w:rPr>
          <w:spacing w:val="-6"/>
          <w:sz w:val="24"/>
        </w:rPr>
        <w:t> </w:t>
      </w:r>
      <w:r>
        <w:rPr>
          <w:sz w:val="24"/>
        </w:rPr>
        <w:t>and</w:t>
      </w:r>
      <w:r>
        <w:rPr>
          <w:spacing w:val="-7"/>
          <w:sz w:val="24"/>
        </w:rPr>
        <w:t> </w:t>
      </w:r>
      <w:r>
        <w:rPr>
          <w:sz w:val="24"/>
        </w:rPr>
        <w:t>will</w:t>
      </w:r>
      <w:r>
        <w:rPr>
          <w:spacing w:val="-6"/>
          <w:sz w:val="24"/>
        </w:rPr>
        <w:t> </w:t>
      </w:r>
      <w:r>
        <w:rPr>
          <w:sz w:val="24"/>
        </w:rPr>
        <w:t>provide</w:t>
      </w:r>
      <w:r>
        <w:rPr>
          <w:spacing w:val="-7"/>
          <w:sz w:val="24"/>
        </w:rPr>
        <w:t> </w:t>
      </w:r>
      <w:r>
        <w:rPr>
          <w:sz w:val="24"/>
        </w:rPr>
        <w:t>the</w:t>
      </w:r>
      <w:r>
        <w:rPr>
          <w:spacing w:val="-8"/>
          <w:sz w:val="24"/>
        </w:rPr>
        <w:t> </w:t>
      </w:r>
      <w:r>
        <w:rPr>
          <w:sz w:val="24"/>
        </w:rPr>
        <w:t>Vendor</w:t>
      </w:r>
      <w:r>
        <w:rPr>
          <w:spacing w:val="-7"/>
          <w:sz w:val="24"/>
        </w:rPr>
        <w:t> </w:t>
      </w:r>
      <w:r>
        <w:rPr>
          <w:sz w:val="24"/>
        </w:rPr>
        <w:t>with thirty calendar days’ advance notice of any changes made to receiving hours. Any issues with delivery scheduling should be addressed to the PLCB DC Manager at the receiving DC.</w:t>
      </w:r>
    </w:p>
    <w:p>
      <w:pPr>
        <w:pStyle w:val="BodyText"/>
        <w:spacing w:before="4"/>
        <w:rPr>
          <w:sz w:val="26"/>
        </w:rPr>
      </w:pPr>
    </w:p>
    <w:p>
      <w:pPr>
        <w:pStyle w:val="ListParagraph"/>
        <w:numPr>
          <w:ilvl w:val="0"/>
          <w:numId w:val="2"/>
        </w:numPr>
        <w:tabs>
          <w:tab w:pos="1019" w:val="left" w:leader="none"/>
          <w:tab w:pos="1020" w:val="left" w:leader="none"/>
        </w:tabs>
        <w:spacing w:line="240" w:lineRule="auto" w:before="1" w:after="0"/>
        <w:ind w:left="1020" w:right="0" w:hanging="720"/>
        <w:jc w:val="left"/>
        <w:rPr>
          <w:sz w:val="24"/>
        </w:rPr>
      </w:pPr>
      <w:r>
        <w:rPr>
          <w:sz w:val="24"/>
        </w:rPr>
        <w:t>Receiving: Overages, Shortages, Incorrect Product and</w:t>
      </w:r>
      <w:r>
        <w:rPr>
          <w:spacing w:val="-1"/>
          <w:sz w:val="24"/>
        </w:rPr>
        <w:t> </w:t>
      </w:r>
      <w:r>
        <w:rPr>
          <w:sz w:val="24"/>
        </w:rPr>
        <w:t>Damages</w:t>
      </w:r>
    </w:p>
    <w:p>
      <w:pPr>
        <w:pStyle w:val="BodyText"/>
        <w:spacing w:before="1"/>
        <w:rPr>
          <w:sz w:val="27"/>
        </w:rPr>
      </w:pPr>
    </w:p>
    <w:p>
      <w:pPr>
        <w:pStyle w:val="ListParagraph"/>
        <w:numPr>
          <w:ilvl w:val="1"/>
          <w:numId w:val="2"/>
        </w:numPr>
        <w:tabs>
          <w:tab w:pos="1380" w:val="left" w:leader="none"/>
        </w:tabs>
        <w:spacing w:line="247" w:lineRule="auto" w:before="0" w:after="0"/>
        <w:ind w:left="1379" w:right="526" w:hanging="360"/>
        <w:jc w:val="both"/>
        <w:rPr>
          <w:sz w:val="24"/>
        </w:rPr>
      </w:pPr>
      <w:r>
        <w:rPr>
          <w:sz w:val="24"/>
        </w:rPr>
        <w:t>All units of each shipment must be shipped on slip-sheets, unitized for clamp truck, or palletized on forty-eight inch by forty inch four-way pallets. The PLCB will notify the Vendor of improperly palletized, unitized, or slip-sheeted products, and may assess charges commensurate with placing the material onto forty-eight inch by forty inch four-way</w:t>
      </w:r>
      <w:r>
        <w:rPr>
          <w:spacing w:val="-1"/>
          <w:sz w:val="24"/>
        </w:rPr>
        <w:t> </w:t>
      </w:r>
      <w:r>
        <w:rPr>
          <w:sz w:val="24"/>
        </w:rPr>
        <w:t>pallets.</w:t>
      </w:r>
    </w:p>
    <w:p>
      <w:pPr>
        <w:pStyle w:val="BodyText"/>
        <w:spacing w:before="5"/>
        <w:rPr>
          <w:sz w:val="26"/>
        </w:rPr>
      </w:pPr>
    </w:p>
    <w:p>
      <w:pPr>
        <w:pStyle w:val="ListParagraph"/>
        <w:numPr>
          <w:ilvl w:val="1"/>
          <w:numId w:val="2"/>
        </w:numPr>
        <w:tabs>
          <w:tab w:pos="1380" w:val="left" w:leader="none"/>
        </w:tabs>
        <w:spacing w:line="244" w:lineRule="auto" w:before="1" w:after="0"/>
        <w:ind w:left="1380" w:right="524" w:hanging="360"/>
        <w:jc w:val="both"/>
        <w:rPr>
          <w:sz w:val="24"/>
        </w:rPr>
      </w:pPr>
      <w:r>
        <w:rPr>
          <w:sz w:val="24"/>
        </w:rPr>
        <w:t>Floor loads are not permitted. Any floor loads may be rejected or accepted by the PLCB’s DC Manager or designee at its discretion. If the PLCB’s DC Manager or designee accepts the delivery of floor-loaded product, the Vendor’s carrier driver</w:t>
      </w:r>
      <w:r>
        <w:rPr>
          <w:spacing w:val="-27"/>
          <w:sz w:val="24"/>
        </w:rPr>
        <w:t> </w:t>
      </w:r>
      <w:r>
        <w:rPr>
          <w:sz w:val="24"/>
        </w:rPr>
        <w:t>shall be responsible for the unloading of any floorloaded</w:t>
      </w:r>
      <w:r>
        <w:rPr>
          <w:spacing w:val="-6"/>
          <w:sz w:val="24"/>
        </w:rPr>
        <w:t> </w:t>
      </w:r>
      <w:r>
        <w:rPr>
          <w:sz w:val="24"/>
        </w:rPr>
        <w:t>product.</w:t>
      </w:r>
    </w:p>
    <w:p>
      <w:pPr>
        <w:pStyle w:val="BodyText"/>
        <w:spacing w:before="4"/>
        <w:rPr>
          <w:sz w:val="27"/>
        </w:rPr>
      </w:pPr>
    </w:p>
    <w:p>
      <w:pPr>
        <w:pStyle w:val="ListParagraph"/>
        <w:numPr>
          <w:ilvl w:val="1"/>
          <w:numId w:val="2"/>
        </w:numPr>
        <w:tabs>
          <w:tab w:pos="1380" w:val="left" w:leader="none"/>
        </w:tabs>
        <w:spacing w:line="247" w:lineRule="auto" w:before="0" w:after="0"/>
        <w:ind w:left="1379" w:right="526" w:hanging="360"/>
        <w:jc w:val="both"/>
        <w:rPr>
          <w:sz w:val="24"/>
        </w:rPr>
      </w:pPr>
      <w:r>
        <w:rPr>
          <w:sz w:val="24"/>
        </w:rPr>
        <w:t>Slip sheets (preferred) or pallets must be used to separate layers on pallets with mixed product. PLCB DC personnel will unload all full-pallet unitized loads. The Vendor’s carrier driver is required to witness the unloading. Carrier drivers are also required to separate any mixed-tier unitized loads onto individual pallets. Both the carrier driver and</w:t>
      </w:r>
      <w:r>
        <w:rPr>
          <w:spacing w:val="-5"/>
          <w:sz w:val="24"/>
        </w:rPr>
        <w:t> </w:t>
      </w:r>
      <w:r>
        <w:rPr>
          <w:sz w:val="24"/>
        </w:rPr>
        <w:t>the</w:t>
      </w:r>
      <w:r>
        <w:rPr>
          <w:spacing w:val="-6"/>
          <w:sz w:val="24"/>
        </w:rPr>
        <w:t> </w:t>
      </w:r>
      <w:r>
        <w:rPr>
          <w:sz w:val="24"/>
        </w:rPr>
        <w:t>PLCB</w:t>
      </w:r>
      <w:r>
        <w:rPr>
          <w:spacing w:val="-6"/>
          <w:sz w:val="24"/>
        </w:rPr>
        <w:t> </w:t>
      </w:r>
      <w:r>
        <w:rPr>
          <w:sz w:val="24"/>
        </w:rPr>
        <w:t>DC</w:t>
      </w:r>
      <w:r>
        <w:rPr>
          <w:spacing w:val="-4"/>
          <w:sz w:val="24"/>
        </w:rPr>
        <w:t> </w:t>
      </w:r>
      <w:r>
        <w:rPr>
          <w:sz w:val="24"/>
        </w:rPr>
        <w:t>personnel</w:t>
      </w:r>
      <w:r>
        <w:rPr>
          <w:spacing w:val="-3"/>
          <w:sz w:val="24"/>
        </w:rPr>
        <w:t> </w:t>
      </w:r>
      <w:r>
        <w:rPr>
          <w:sz w:val="24"/>
        </w:rPr>
        <w:t>will</w:t>
      </w:r>
      <w:r>
        <w:rPr>
          <w:spacing w:val="-4"/>
          <w:sz w:val="24"/>
        </w:rPr>
        <w:t> </w:t>
      </w:r>
      <w:r>
        <w:rPr>
          <w:sz w:val="24"/>
        </w:rPr>
        <w:t>sign</w:t>
      </w:r>
      <w:r>
        <w:rPr>
          <w:spacing w:val="-6"/>
          <w:sz w:val="24"/>
        </w:rPr>
        <w:t> </w:t>
      </w:r>
      <w:r>
        <w:rPr>
          <w:sz w:val="24"/>
        </w:rPr>
        <w:t>the</w:t>
      </w:r>
      <w:r>
        <w:rPr>
          <w:spacing w:val="-6"/>
          <w:sz w:val="24"/>
        </w:rPr>
        <w:t> </w:t>
      </w:r>
      <w:r>
        <w:rPr>
          <w:sz w:val="24"/>
        </w:rPr>
        <w:t>receiving</w:t>
      </w:r>
      <w:r>
        <w:rPr>
          <w:spacing w:val="-4"/>
          <w:sz w:val="24"/>
        </w:rPr>
        <w:t> </w:t>
      </w:r>
      <w:r>
        <w:rPr>
          <w:sz w:val="24"/>
        </w:rPr>
        <w:t>report</w:t>
      </w:r>
      <w:r>
        <w:rPr>
          <w:spacing w:val="-4"/>
          <w:sz w:val="24"/>
        </w:rPr>
        <w:t> </w:t>
      </w:r>
      <w:r>
        <w:rPr>
          <w:sz w:val="24"/>
        </w:rPr>
        <w:t>form</w:t>
      </w:r>
      <w:r>
        <w:rPr>
          <w:spacing w:val="-4"/>
          <w:sz w:val="24"/>
        </w:rPr>
        <w:t> </w:t>
      </w:r>
      <w:r>
        <w:rPr>
          <w:sz w:val="24"/>
        </w:rPr>
        <w:t>and</w:t>
      </w:r>
      <w:r>
        <w:rPr>
          <w:spacing w:val="-4"/>
          <w:sz w:val="24"/>
        </w:rPr>
        <w:t> </w:t>
      </w:r>
      <w:r>
        <w:rPr>
          <w:sz w:val="24"/>
        </w:rPr>
        <w:t>the</w:t>
      </w:r>
      <w:r>
        <w:rPr>
          <w:spacing w:val="-6"/>
          <w:sz w:val="24"/>
        </w:rPr>
        <w:t> </w:t>
      </w:r>
      <w:r>
        <w:rPr>
          <w:sz w:val="24"/>
        </w:rPr>
        <w:t>Bill</w:t>
      </w:r>
      <w:r>
        <w:rPr>
          <w:spacing w:val="-6"/>
          <w:sz w:val="24"/>
        </w:rPr>
        <w:t> </w:t>
      </w:r>
      <w:r>
        <w:rPr>
          <w:sz w:val="24"/>
        </w:rPr>
        <w:t>of</w:t>
      </w:r>
      <w:r>
        <w:rPr>
          <w:spacing w:val="-6"/>
          <w:sz w:val="24"/>
        </w:rPr>
        <w:t> </w:t>
      </w:r>
      <w:r>
        <w:rPr>
          <w:sz w:val="24"/>
        </w:rPr>
        <w:t>Lading. Overage of product, shortage of product, and damage will be noted on the</w:t>
      </w:r>
      <w:r>
        <w:rPr>
          <w:spacing w:val="-13"/>
          <w:sz w:val="24"/>
        </w:rPr>
        <w:t> </w:t>
      </w:r>
      <w:r>
        <w:rPr>
          <w:sz w:val="24"/>
        </w:rPr>
        <w:t>paperwork.</w:t>
      </w:r>
    </w:p>
    <w:p>
      <w:pPr>
        <w:pStyle w:val="BodyText"/>
        <w:spacing w:before="5"/>
        <w:rPr>
          <w:sz w:val="26"/>
        </w:rPr>
      </w:pPr>
    </w:p>
    <w:p>
      <w:pPr>
        <w:pStyle w:val="ListParagraph"/>
        <w:numPr>
          <w:ilvl w:val="1"/>
          <w:numId w:val="2"/>
        </w:numPr>
        <w:tabs>
          <w:tab w:pos="1380" w:val="left" w:leader="none"/>
        </w:tabs>
        <w:spacing w:line="244" w:lineRule="auto" w:before="0" w:after="0"/>
        <w:ind w:left="1380" w:right="523" w:hanging="360"/>
        <w:jc w:val="both"/>
        <w:rPr>
          <w:sz w:val="24"/>
        </w:rPr>
      </w:pPr>
      <w:r>
        <w:rPr>
          <w:sz w:val="24"/>
        </w:rPr>
        <w:t>Upon</w:t>
      </w:r>
      <w:r>
        <w:rPr>
          <w:spacing w:val="-10"/>
          <w:sz w:val="24"/>
        </w:rPr>
        <w:t> </w:t>
      </w:r>
      <w:r>
        <w:rPr>
          <w:sz w:val="24"/>
        </w:rPr>
        <w:t>receipt</w:t>
      </w:r>
      <w:r>
        <w:rPr>
          <w:spacing w:val="-9"/>
          <w:sz w:val="24"/>
        </w:rPr>
        <w:t> </w:t>
      </w:r>
      <w:r>
        <w:rPr>
          <w:sz w:val="24"/>
        </w:rPr>
        <w:t>of</w:t>
      </w:r>
      <w:r>
        <w:rPr>
          <w:spacing w:val="-9"/>
          <w:sz w:val="24"/>
        </w:rPr>
        <w:t> </w:t>
      </w:r>
      <w:r>
        <w:rPr>
          <w:sz w:val="24"/>
        </w:rPr>
        <w:t>product,</w:t>
      </w:r>
      <w:r>
        <w:rPr>
          <w:spacing w:val="-7"/>
          <w:sz w:val="24"/>
        </w:rPr>
        <w:t> </w:t>
      </w:r>
      <w:r>
        <w:rPr>
          <w:sz w:val="24"/>
        </w:rPr>
        <w:t>PLCB</w:t>
      </w:r>
      <w:r>
        <w:rPr>
          <w:spacing w:val="-8"/>
          <w:sz w:val="24"/>
        </w:rPr>
        <w:t> </w:t>
      </w:r>
      <w:r>
        <w:rPr>
          <w:sz w:val="24"/>
        </w:rPr>
        <w:t>DC</w:t>
      </w:r>
      <w:r>
        <w:rPr>
          <w:spacing w:val="-11"/>
          <w:sz w:val="24"/>
        </w:rPr>
        <w:t> </w:t>
      </w:r>
      <w:r>
        <w:rPr>
          <w:sz w:val="24"/>
        </w:rPr>
        <w:t>personnel</w:t>
      </w:r>
      <w:r>
        <w:rPr>
          <w:spacing w:val="-9"/>
          <w:sz w:val="24"/>
        </w:rPr>
        <w:t> </w:t>
      </w:r>
      <w:r>
        <w:rPr>
          <w:sz w:val="24"/>
        </w:rPr>
        <w:t>will</w:t>
      </w:r>
      <w:r>
        <w:rPr>
          <w:spacing w:val="-11"/>
          <w:sz w:val="24"/>
        </w:rPr>
        <w:t> </w:t>
      </w:r>
      <w:r>
        <w:rPr>
          <w:sz w:val="24"/>
        </w:rPr>
        <w:t>complete</w:t>
      </w:r>
      <w:r>
        <w:rPr>
          <w:spacing w:val="-11"/>
          <w:sz w:val="24"/>
        </w:rPr>
        <w:t> </w:t>
      </w:r>
      <w:r>
        <w:rPr>
          <w:sz w:val="24"/>
        </w:rPr>
        <w:t>a</w:t>
      </w:r>
      <w:r>
        <w:rPr>
          <w:spacing w:val="-10"/>
          <w:sz w:val="24"/>
        </w:rPr>
        <w:t> </w:t>
      </w:r>
      <w:r>
        <w:rPr>
          <w:sz w:val="24"/>
        </w:rPr>
        <w:t>receiving</w:t>
      </w:r>
      <w:r>
        <w:rPr>
          <w:spacing w:val="-10"/>
          <w:sz w:val="24"/>
        </w:rPr>
        <w:t> </w:t>
      </w:r>
      <w:r>
        <w:rPr>
          <w:sz w:val="24"/>
        </w:rPr>
        <w:t>report</w:t>
      </w:r>
      <w:r>
        <w:rPr>
          <w:spacing w:val="-8"/>
          <w:sz w:val="24"/>
        </w:rPr>
        <w:t> </w:t>
      </w:r>
      <w:r>
        <w:rPr>
          <w:sz w:val="24"/>
        </w:rPr>
        <w:t>form</w:t>
      </w:r>
      <w:r>
        <w:rPr>
          <w:spacing w:val="-9"/>
          <w:sz w:val="24"/>
        </w:rPr>
        <w:t> </w:t>
      </w:r>
      <w:r>
        <w:rPr>
          <w:sz w:val="24"/>
        </w:rPr>
        <w:t>for each load delivered and give the completed form to the transportation driver before he or</w:t>
      </w:r>
      <w:r>
        <w:rPr>
          <w:spacing w:val="-12"/>
          <w:sz w:val="24"/>
        </w:rPr>
        <w:t> </w:t>
      </w:r>
      <w:r>
        <w:rPr>
          <w:sz w:val="24"/>
        </w:rPr>
        <w:t>she</w:t>
      </w:r>
      <w:r>
        <w:rPr>
          <w:spacing w:val="-11"/>
          <w:sz w:val="24"/>
        </w:rPr>
        <w:t> </w:t>
      </w:r>
      <w:r>
        <w:rPr>
          <w:sz w:val="24"/>
        </w:rPr>
        <w:t>departs</w:t>
      </w:r>
      <w:r>
        <w:rPr>
          <w:spacing w:val="-8"/>
          <w:sz w:val="24"/>
        </w:rPr>
        <w:t> </w:t>
      </w:r>
      <w:r>
        <w:rPr>
          <w:sz w:val="24"/>
        </w:rPr>
        <w:t>from</w:t>
      </w:r>
      <w:r>
        <w:rPr>
          <w:spacing w:val="-10"/>
          <w:sz w:val="24"/>
        </w:rPr>
        <w:t> </w:t>
      </w:r>
      <w:r>
        <w:rPr>
          <w:sz w:val="24"/>
        </w:rPr>
        <w:t>the</w:t>
      </w:r>
      <w:r>
        <w:rPr>
          <w:spacing w:val="-11"/>
          <w:sz w:val="24"/>
        </w:rPr>
        <w:t> </w:t>
      </w:r>
      <w:r>
        <w:rPr>
          <w:sz w:val="24"/>
        </w:rPr>
        <w:t>DC.</w:t>
      </w:r>
      <w:r>
        <w:rPr>
          <w:spacing w:val="39"/>
          <w:sz w:val="24"/>
        </w:rPr>
        <w:t> </w:t>
      </w:r>
      <w:r>
        <w:rPr>
          <w:sz w:val="24"/>
        </w:rPr>
        <w:t>The</w:t>
      </w:r>
      <w:r>
        <w:rPr>
          <w:spacing w:val="-9"/>
          <w:sz w:val="24"/>
        </w:rPr>
        <w:t> </w:t>
      </w:r>
      <w:r>
        <w:rPr>
          <w:sz w:val="24"/>
        </w:rPr>
        <w:t>DC</w:t>
      </w:r>
      <w:r>
        <w:rPr>
          <w:spacing w:val="-10"/>
          <w:sz w:val="24"/>
        </w:rPr>
        <w:t> </w:t>
      </w:r>
      <w:r>
        <w:rPr>
          <w:sz w:val="24"/>
        </w:rPr>
        <w:t>shall</w:t>
      </w:r>
      <w:r>
        <w:rPr>
          <w:spacing w:val="-10"/>
          <w:sz w:val="24"/>
        </w:rPr>
        <w:t> </w:t>
      </w:r>
      <w:r>
        <w:rPr>
          <w:sz w:val="24"/>
        </w:rPr>
        <w:t>update</w:t>
      </w:r>
      <w:r>
        <w:rPr>
          <w:spacing w:val="-9"/>
          <w:sz w:val="24"/>
        </w:rPr>
        <w:t> </w:t>
      </w:r>
      <w:r>
        <w:rPr>
          <w:sz w:val="24"/>
        </w:rPr>
        <w:t>the</w:t>
      </w:r>
      <w:r>
        <w:rPr>
          <w:spacing w:val="-12"/>
          <w:sz w:val="24"/>
        </w:rPr>
        <w:t> </w:t>
      </w:r>
      <w:r>
        <w:rPr>
          <w:sz w:val="24"/>
        </w:rPr>
        <w:t>inventory</w:t>
      </w:r>
      <w:r>
        <w:rPr>
          <w:spacing w:val="-8"/>
          <w:sz w:val="24"/>
        </w:rPr>
        <w:t> </w:t>
      </w:r>
      <w:r>
        <w:rPr>
          <w:sz w:val="24"/>
        </w:rPr>
        <w:t>records</w:t>
      </w:r>
      <w:r>
        <w:rPr>
          <w:spacing w:val="-11"/>
          <w:sz w:val="24"/>
        </w:rPr>
        <w:t> </w:t>
      </w:r>
      <w:r>
        <w:rPr>
          <w:sz w:val="24"/>
        </w:rPr>
        <w:t>of</w:t>
      </w:r>
      <w:r>
        <w:rPr>
          <w:spacing w:val="-8"/>
          <w:sz w:val="24"/>
        </w:rPr>
        <w:t> </w:t>
      </w:r>
      <w:r>
        <w:rPr>
          <w:sz w:val="24"/>
        </w:rPr>
        <w:t>the</w:t>
      </w:r>
      <w:r>
        <w:rPr>
          <w:spacing w:val="-11"/>
          <w:sz w:val="24"/>
        </w:rPr>
        <w:t> </w:t>
      </w:r>
      <w:r>
        <w:rPr>
          <w:sz w:val="24"/>
        </w:rPr>
        <w:t>Vendor’s bailed product</w:t>
      </w:r>
      <w:r>
        <w:rPr>
          <w:spacing w:val="-1"/>
          <w:sz w:val="24"/>
        </w:rPr>
        <w:t> </w:t>
      </w:r>
      <w:r>
        <w:rPr>
          <w:sz w:val="24"/>
        </w:rPr>
        <w:t>daily.</w:t>
      </w:r>
    </w:p>
    <w:p>
      <w:pPr>
        <w:pStyle w:val="BodyText"/>
        <w:spacing w:before="5"/>
        <w:rPr>
          <w:sz w:val="27"/>
        </w:rPr>
      </w:pPr>
    </w:p>
    <w:p>
      <w:pPr>
        <w:pStyle w:val="ListParagraph"/>
        <w:numPr>
          <w:ilvl w:val="1"/>
          <w:numId w:val="2"/>
        </w:numPr>
        <w:tabs>
          <w:tab w:pos="1380" w:val="left" w:leader="none"/>
        </w:tabs>
        <w:spacing w:line="240" w:lineRule="auto" w:before="0" w:after="0"/>
        <w:ind w:left="1380" w:right="0" w:hanging="360"/>
        <w:jc w:val="left"/>
        <w:rPr>
          <w:sz w:val="24"/>
        </w:rPr>
      </w:pPr>
      <w:r>
        <w:rPr>
          <w:sz w:val="24"/>
        </w:rPr>
        <w:t>Overage</w:t>
      </w:r>
    </w:p>
    <w:p>
      <w:pPr>
        <w:spacing w:after="0" w:line="240" w:lineRule="auto"/>
        <w:jc w:val="left"/>
        <w:rPr>
          <w:sz w:val="24"/>
        </w:rPr>
        <w:sectPr>
          <w:pgSz w:w="12240" w:h="15840"/>
          <w:pgMar w:header="0" w:footer="1006" w:top="1380" w:bottom="1200" w:left="1140" w:right="900"/>
        </w:sectPr>
      </w:pPr>
    </w:p>
    <w:p>
      <w:pPr>
        <w:pStyle w:val="ListParagraph"/>
        <w:numPr>
          <w:ilvl w:val="2"/>
          <w:numId w:val="2"/>
        </w:numPr>
        <w:tabs>
          <w:tab w:pos="2100" w:val="left" w:leader="none"/>
        </w:tabs>
        <w:spacing w:line="244" w:lineRule="auto" w:before="69" w:after="0"/>
        <w:ind w:left="2100" w:right="524" w:hanging="360"/>
        <w:jc w:val="both"/>
        <w:rPr>
          <w:sz w:val="24"/>
        </w:rPr>
      </w:pPr>
      <w:r>
        <w:rPr>
          <w:sz w:val="24"/>
        </w:rPr>
        <w:t>In</w:t>
      </w:r>
      <w:r>
        <w:rPr>
          <w:spacing w:val="-5"/>
          <w:sz w:val="24"/>
        </w:rPr>
        <w:t> </w:t>
      </w:r>
      <w:r>
        <w:rPr>
          <w:sz w:val="24"/>
        </w:rPr>
        <w:t>the</w:t>
      </w:r>
      <w:r>
        <w:rPr>
          <w:spacing w:val="-2"/>
          <w:sz w:val="24"/>
        </w:rPr>
        <w:t> </w:t>
      </w:r>
      <w:r>
        <w:rPr>
          <w:sz w:val="24"/>
        </w:rPr>
        <w:t>event</w:t>
      </w:r>
      <w:r>
        <w:rPr>
          <w:spacing w:val="-3"/>
          <w:sz w:val="24"/>
        </w:rPr>
        <w:t> </w:t>
      </w:r>
      <w:r>
        <w:rPr>
          <w:sz w:val="24"/>
        </w:rPr>
        <w:t>that</w:t>
      </w:r>
      <w:r>
        <w:rPr>
          <w:spacing w:val="-3"/>
          <w:sz w:val="24"/>
        </w:rPr>
        <w:t> </w:t>
      </w:r>
      <w:r>
        <w:rPr>
          <w:sz w:val="24"/>
        </w:rPr>
        <w:t>there</w:t>
      </w:r>
      <w:r>
        <w:rPr>
          <w:spacing w:val="-5"/>
          <w:sz w:val="24"/>
        </w:rPr>
        <w:t> </w:t>
      </w:r>
      <w:r>
        <w:rPr>
          <w:sz w:val="24"/>
        </w:rPr>
        <w:t>is</w:t>
      </w:r>
      <w:r>
        <w:rPr>
          <w:spacing w:val="-4"/>
          <w:sz w:val="24"/>
        </w:rPr>
        <w:t> </w:t>
      </w:r>
      <w:r>
        <w:rPr>
          <w:sz w:val="24"/>
        </w:rPr>
        <w:t>an</w:t>
      </w:r>
      <w:r>
        <w:rPr>
          <w:spacing w:val="-5"/>
          <w:sz w:val="24"/>
        </w:rPr>
        <w:t> </w:t>
      </w:r>
      <w:r>
        <w:rPr>
          <w:sz w:val="24"/>
        </w:rPr>
        <w:t>Overage</w:t>
      </w:r>
      <w:r>
        <w:rPr>
          <w:spacing w:val="-5"/>
          <w:sz w:val="24"/>
        </w:rPr>
        <w:t> </w:t>
      </w:r>
      <w:r>
        <w:rPr>
          <w:sz w:val="24"/>
        </w:rPr>
        <w:t>on</w:t>
      </w:r>
      <w:r>
        <w:rPr>
          <w:spacing w:val="-4"/>
          <w:sz w:val="24"/>
        </w:rPr>
        <w:t> </w:t>
      </w:r>
      <w:r>
        <w:rPr>
          <w:sz w:val="24"/>
        </w:rPr>
        <w:t>a</w:t>
      </w:r>
      <w:r>
        <w:rPr>
          <w:spacing w:val="-5"/>
          <w:sz w:val="24"/>
        </w:rPr>
        <w:t> </w:t>
      </w:r>
      <w:r>
        <w:rPr>
          <w:sz w:val="24"/>
        </w:rPr>
        <w:t>shipment</w:t>
      </w:r>
      <w:r>
        <w:rPr>
          <w:spacing w:val="-3"/>
          <w:sz w:val="24"/>
        </w:rPr>
        <w:t> </w:t>
      </w:r>
      <w:r>
        <w:rPr>
          <w:sz w:val="24"/>
        </w:rPr>
        <w:t>received</w:t>
      </w:r>
      <w:r>
        <w:rPr>
          <w:spacing w:val="-4"/>
          <w:sz w:val="24"/>
        </w:rPr>
        <w:t> </w:t>
      </w:r>
      <w:r>
        <w:rPr>
          <w:sz w:val="24"/>
        </w:rPr>
        <w:t>at</w:t>
      </w:r>
      <w:r>
        <w:rPr>
          <w:spacing w:val="-4"/>
          <w:sz w:val="24"/>
        </w:rPr>
        <w:t> </w:t>
      </w:r>
      <w:r>
        <w:rPr>
          <w:sz w:val="24"/>
        </w:rPr>
        <w:t>a</w:t>
      </w:r>
      <w:r>
        <w:rPr>
          <w:spacing w:val="-5"/>
          <w:sz w:val="24"/>
        </w:rPr>
        <w:t> </w:t>
      </w:r>
      <w:r>
        <w:rPr>
          <w:sz w:val="24"/>
        </w:rPr>
        <w:t>PLCB</w:t>
      </w:r>
      <w:r>
        <w:rPr>
          <w:spacing w:val="-3"/>
          <w:sz w:val="24"/>
        </w:rPr>
        <w:t> </w:t>
      </w:r>
      <w:r>
        <w:rPr>
          <w:sz w:val="24"/>
        </w:rPr>
        <w:t>DC,</w:t>
      </w:r>
      <w:r>
        <w:rPr>
          <w:spacing w:val="-4"/>
          <w:sz w:val="24"/>
        </w:rPr>
        <w:t> </w:t>
      </w:r>
      <w:r>
        <w:rPr>
          <w:sz w:val="24"/>
        </w:rPr>
        <w:t>the PLCB will note the Overage on the Bill of Lading and will place the Overage in the Vendor’s</w:t>
      </w:r>
      <w:r>
        <w:rPr>
          <w:spacing w:val="-2"/>
          <w:sz w:val="24"/>
        </w:rPr>
        <w:t> </w:t>
      </w:r>
      <w:r>
        <w:rPr>
          <w:sz w:val="24"/>
        </w:rPr>
        <w:t>inventory.</w:t>
      </w:r>
    </w:p>
    <w:p>
      <w:pPr>
        <w:pStyle w:val="BodyText"/>
        <w:spacing w:before="1"/>
        <w:rPr>
          <w:sz w:val="27"/>
        </w:rPr>
      </w:pPr>
    </w:p>
    <w:p>
      <w:pPr>
        <w:pStyle w:val="ListParagraph"/>
        <w:numPr>
          <w:ilvl w:val="2"/>
          <w:numId w:val="2"/>
        </w:numPr>
        <w:tabs>
          <w:tab w:pos="2100" w:val="left" w:leader="none"/>
        </w:tabs>
        <w:spacing w:line="240" w:lineRule="auto" w:before="0" w:after="0"/>
        <w:ind w:left="2100" w:right="0" w:hanging="360"/>
        <w:jc w:val="left"/>
        <w:rPr>
          <w:sz w:val="24"/>
        </w:rPr>
      </w:pPr>
      <w:r>
        <w:rPr>
          <w:sz w:val="24"/>
        </w:rPr>
        <w:t>The actual quantity received will be used to update inventory</w:t>
      </w:r>
      <w:r>
        <w:rPr>
          <w:spacing w:val="-7"/>
          <w:sz w:val="24"/>
        </w:rPr>
        <w:t> </w:t>
      </w:r>
      <w:r>
        <w:rPr>
          <w:sz w:val="24"/>
        </w:rPr>
        <w:t>records.</w:t>
      </w:r>
    </w:p>
    <w:p>
      <w:pPr>
        <w:pStyle w:val="BodyText"/>
        <w:spacing w:before="10"/>
        <w:rPr>
          <w:sz w:val="26"/>
        </w:rPr>
      </w:pPr>
    </w:p>
    <w:p>
      <w:pPr>
        <w:pStyle w:val="ListParagraph"/>
        <w:numPr>
          <w:ilvl w:val="1"/>
          <w:numId w:val="2"/>
        </w:numPr>
        <w:tabs>
          <w:tab w:pos="1380" w:val="left" w:leader="none"/>
        </w:tabs>
        <w:spacing w:line="240" w:lineRule="auto" w:before="0" w:after="0"/>
        <w:ind w:left="1380" w:right="0" w:hanging="360"/>
        <w:jc w:val="left"/>
        <w:rPr>
          <w:sz w:val="24"/>
        </w:rPr>
      </w:pPr>
      <w:r>
        <w:rPr>
          <w:sz w:val="24"/>
        </w:rPr>
        <w:t>Shortage</w:t>
      </w:r>
    </w:p>
    <w:p>
      <w:pPr>
        <w:pStyle w:val="BodyText"/>
        <w:spacing w:before="1"/>
        <w:rPr>
          <w:sz w:val="27"/>
        </w:rPr>
      </w:pPr>
    </w:p>
    <w:p>
      <w:pPr>
        <w:pStyle w:val="ListParagraph"/>
        <w:numPr>
          <w:ilvl w:val="2"/>
          <w:numId w:val="2"/>
        </w:numPr>
        <w:tabs>
          <w:tab w:pos="2100" w:val="left" w:leader="none"/>
        </w:tabs>
        <w:spacing w:line="240" w:lineRule="auto" w:before="0" w:after="0"/>
        <w:ind w:left="2100" w:right="522" w:hanging="360"/>
        <w:jc w:val="both"/>
        <w:rPr>
          <w:sz w:val="24"/>
        </w:rPr>
      </w:pPr>
      <w:r>
        <w:rPr>
          <w:sz w:val="24"/>
        </w:rPr>
        <w:t>In the event that there is a Shortage on a shipment received at a PLCB DC, the PLCB will note the Shortage on the Bill of</w:t>
      </w:r>
      <w:r>
        <w:rPr>
          <w:spacing w:val="-7"/>
          <w:sz w:val="24"/>
        </w:rPr>
        <w:t> </w:t>
      </w:r>
      <w:r>
        <w:rPr>
          <w:sz w:val="24"/>
        </w:rPr>
        <w:t>Lading.</w:t>
      </w:r>
    </w:p>
    <w:p>
      <w:pPr>
        <w:pStyle w:val="BodyText"/>
        <w:spacing w:before="9"/>
        <w:rPr>
          <w:sz w:val="27"/>
        </w:rPr>
      </w:pPr>
    </w:p>
    <w:p>
      <w:pPr>
        <w:pStyle w:val="ListParagraph"/>
        <w:numPr>
          <w:ilvl w:val="2"/>
          <w:numId w:val="2"/>
        </w:numPr>
        <w:tabs>
          <w:tab w:pos="2100" w:val="left" w:leader="none"/>
        </w:tabs>
        <w:spacing w:line="240" w:lineRule="auto" w:before="0" w:after="0"/>
        <w:ind w:left="2100" w:right="0" w:hanging="360"/>
        <w:jc w:val="left"/>
        <w:rPr>
          <w:sz w:val="24"/>
        </w:rPr>
      </w:pPr>
      <w:r>
        <w:rPr>
          <w:sz w:val="24"/>
        </w:rPr>
        <w:t>The actual quantity received will be used to update inventory</w:t>
      </w:r>
      <w:r>
        <w:rPr>
          <w:spacing w:val="-14"/>
          <w:sz w:val="24"/>
        </w:rPr>
        <w:t> </w:t>
      </w:r>
      <w:r>
        <w:rPr>
          <w:sz w:val="24"/>
        </w:rPr>
        <w:t>records.</w:t>
      </w:r>
    </w:p>
    <w:p>
      <w:pPr>
        <w:pStyle w:val="BodyText"/>
        <w:spacing w:before="1"/>
        <w:rPr>
          <w:sz w:val="27"/>
        </w:rPr>
      </w:pPr>
    </w:p>
    <w:p>
      <w:pPr>
        <w:pStyle w:val="ListParagraph"/>
        <w:numPr>
          <w:ilvl w:val="1"/>
          <w:numId w:val="2"/>
        </w:numPr>
        <w:tabs>
          <w:tab w:pos="1380" w:val="left" w:leader="none"/>
        </w:tabs>
        <w:spacing w:line="240" w:lineRule="auto" w:before="0" w:after="0"/>
        <w:ind w:left="1380" w:right="0" w:hanging="360"/>
        <w:jc w:val="left"/>
        <w:rPr>
          <w:sz w:val="24"/>
        </w:rPr>
      </w:pPr>
      <w:r>
        <w:rPr>
          <w:sz w:val="24"/>
        </w:rPr>
        <w:t>Incorrect</w:t>
      </w:r>
      <w:r>
        <w:rPr>
          <w:spacing w:val="-1"/>
          <w:sz w:val="24"/>
        </w:rPr>
        <w:t> </w:t>
      </w:r>
      <w:r>
        <w:rPr>
          <w:sz w:val="24"/>
        </w:rPr>
        <w:t>Product</w:t>
      </w:r>
    </w:p>
    <w:p>
      <w:pPr>
        <w:pStyle w:val="BodyText"/>
        <w:spacing w:before="1"/>
        <w:rPr>
          <w:sz w:val="27"/>
        </w:rPr>
      </w:pPr>
    </w:p>
    <w:p>
      <w:pPr>
        <w:pStyle w:val="ListParagraph"/>
        <w:numPr>
          <w:ilvl w:val="2"/>
          <w:numId w:val="2"/>
        </w:numPr>
        <w:tabs>
          <w:tab w:pos="2100" w:val="left" w:leader="none"/>
        </w:tabs>
        <w:spacing w:line="244" w:lineRule="auto" w:before="0" w:after="0"/>
        <w:ind w:left="2100" w:right="522" w:hanging="360"/>
        <w:jc w:val="both"/>
        <w:rPr>
          <w:sz w:val="24"/>
        </w:rPr>
      </w:pPr>
      <w:r>
        <w:rPr>
          <w:sz w:val="24"/>
        </w:rPr>
        <w:t>If Incorrect Product is received in a shipment to a PLCB DC, and the Incorrect Product is Stock Merchandise or Luxury Merchandise, the product will be receipted</w:t>
      </w:r>
      <w:r>
        <w:rPr>
          <w:spacing w:val="-5"/>
          <w:sz w:val="24"/>
        </w:rPr>
        <w:t> </w:t>
      </w:r>
      <w:r>
        <w:rPr>
          <w:sz w:val="24"/>
        </w:rPr>
        <w:t>and</w:t>
      </w:r>
      <w:r>
        <w:rPr>
          <w:spacing w:val="-6"/>
          <w:sz w:val="24"/>
        </w:rPr>
        <w:t> </w:t>
      </w:r>
      <w:r>
        <w:rPr>
          <w:sz w:val="24"/>
        </w:rPr>
        <w:t>added</w:t>
      </w:r>
      <w:r>
        <w:rPr>
          <w:spacing w:val="-6"/>
          <w:sz w:val="24"/>
        </w:rPr>
        <w:t> </w:t>
      </w:r>
      <w:r>
        <w:rPr>
          <w:sz w:val="24"/>
        </w:rPr>
        <w:t>to</w:t>
      </w:r>
      <w:r>
        <w:rPr>
          <w:spacing w:val="-6"/>
          <w:sz w:val="24"/>
        </w:rPr>
        <w:t> </w:t>
      </w:r>
      <w:r>
        <w:rPr>
          <w:sz w:val="24"/>
        </w:rPr>
        <w:t>either</w:t>
      </w:r>
      <w:r>
        <w:rPr>
          <w:spacing w:val="-8"/>
          <w:sz w:val="24"/>
        </w:rPr>
        <w:t> </w:t>
      </w:r>
      <w:r>
        <w:rPr>
          <w:sz w:val="24"/>
        </w:rPr>
        <w:t>the</w:t>
      </w:r>
      <w:r>
        <w:rPr>
          <w:spacing w:val="-7"/>
          <w:sz w:val="24"/>
        </w:rPr>
        <w:t> </w:t>
      </w:r>
      <w:r>
        <w:rPr>
          <w:sz w:val="24"/>
        </w:rPr>
        <w:t>bailment</w:t>
      </w:r>
      <w:r>
        <w:rPr>
          <w:spacing w:val="-6"/>
          <w:sz w:val="24"/>
        </w:rPr>
        <w:t> </w:t>
      </w:r>
      <w:r>
        <w:rPr>
          <w:sz w:val="24"/>
        </w:rPr>
        <w:t>inventory</w:t>
      </w:r>
      <w:r>
        <w:rPr>
          <w:spacing w:val="-6"/>
          <w:sz w:val="24"/>
        </w:rPr>
        <w:t> </w:t>
      </w:r>
      <w:r>
        <w:rPr>
          <w:sz w:val="24"/>
        </w:rPr>
        <w:t>of</w:t>
      </w:r>
      <w:r>
        <w:rPr>
          <w:spacing w:val="-7"/>
          <w:sz w:val="24"/>
        </w:rPr>
        <w:t> </w:t>
      </w:r>
      <w:r>
        <w:rPr>
          <w:sz w:val="24"/>
        </w:rPr>
        <w:t>the</w:t>
      </w:r>
      <w:r>
        <w:rPr>
          <w:spacing w:val="-8"/>
          <w:sz w:val="24"/>
        </w:rPr>
        <w:t> </w:t>
      </w:r>
      <w:r>
        <w:rPr>
          <w:sz w:val="24"/>
        </w:rPr>
        <w:t>vendor</w:t>
      </w:r>
      <w:r>
        <w:rPr>
          <w:spacing w:val="-7"/>
          <w:sz w:val="24"/>
        </w:rPr>
        <w:t> </w:t>
      </w:r>
      <w:r>
        <w:rPr>
          <w:sz w:val="24"/>
        </w:rPr>
        <w:t>or</w:t>
      </w:r>
      <w:r>
        <w:rPr>
          <w:spacing w:val="-7"/>
          <w:sz w:val="24"/>
        </w:rPr>
        <w:t> </w:t>
      </w:r>
      <w:r>
        <w:rPr>
          <w:sz w:val="24"/>
        </w:rPr>
        <w:t>the</w:t>
      </w:r>
      <w:r>
        <w:rPr>
          <w:spacing w:val="-7"/>
          <w:sz w:val="24"/>
        </w:rPr>
        <w:t> </w:t>
      </w:r>
      <w:r>
        <w:rPr>
          <w:sz w:val="24"/>
        </w:rPr>
        <w:t>luxury inventory of the vendor, whichever is</w:t>
      </w:r>
      <w:r>
        <w:rPr>
          <w:spacing w:val="-1"/>
          <w:sz w:val="24"/>
        </w:rPr>
        <w:t> </w:t>
      </w:r>
      <w:r>
        <w:rPr>
          <w:sz w:val="24"/>
        </w:rPr>
        <w:t>appropriate.</w:t>
      </w:r>
    </w:p>
    <w:p>
      <w:pPr>
        <w:pStyle w:val="BodyText"/>
        <w:spacing w:before="5"/>
        <w:rPr>
          <w:sz w:val="27"/>
        </w:rPr>
      </w:pPr>
    </w:p>
    <w:p>
      <w:pPr>
        <w:pStyle w:val="ListParagraph"/>
        <w:numPr>
          <w:ilvl w:val="2"/>
          <w:numId w:val="2"/>
        </w:numPr>
        <w:tabs>
          <w:tab w:pos="2100" w:val="left" w:leader="none"/>
        </w:tabs>
        <w:spacing w:line="247" w:lineRule="auto" w:before="0" w:after="0"/>
        <w:ind w:left="2099" w:right="522" w:hanging="360"/>
        <w:jc w:val="both"/>
        <w:rPr>
          <w:sz w:val="24"/>
        </w:rPr>
      </w:pPr>
      <w:r>
        <w:rPr>
          <w:sz w:val="24"/>
        </w:rPr>
        <w:t>If the Incorrect Product is not Stock Merchandise or Luxury Merchandise, the product</w:t>
      </w:r>
      <w:r>
        <w:rPr>
          <w:spacing w:val="-9"/>
          <w:sz w:val="24"/>
        </w:rPr>
        <w:t> </w:t>
      </w:r>
      <w:r>
        <w:rPr>
          <w:sz w:val="24"/>
        </w:rPr>
        <w:t>may</w:t>
      </w:r>
      <w:r>
        <w:rPr>
          <w:spacing w:val="-9"/>
          <w:sz w:val="24"/>
        </w:rPr>
        <w:t> </w:t>
      </w:r>
      <w:r>
        <w:rPr>
          <w:sz w:val="24"/>
        </w:rPr>
        <w:t>be</w:t>
      </w:r>
      <w:r>
        <w:rPr>
          <w:spacing w:val="-10"/>
          <w:sz w:val="24"/>
        </w:rPr>
        <w:t> </w:t>
      </w:r>
      <w:r>
        <w:rPr>
          <w:sz w:val="24"/>
        </w:rPr>
        <w:t>refused</w:t>
      </w:r>
      <w:r>
        <w:rPr>
          <w:spacing w:val="-6"/>
          <w:sz w:val="24"/>
        </w:rPr>
        <w:t> </w:t>
      </w:r>
      <w:r>
        <w:rPr>
          <w:sz w:val="24"/>
        </w:rPr>
        <w:t>to</w:t>
      </w:r>
      <w:r>
        <w:rPr>
          <w:spacing w:val="-10"/>
          <w:sz w:val="24"/>
        </w:rPr>
        <w:t> </w:t>
      </w:r>
      <w:r>
        <w:rPr>
          <w:sz w:val="24"/>
        </w:rPr>
        <w:t>the</w:t>
      </w:r>
      <w:r>
        <w:rPr>
          <w:spacing w:val="-10"/>
          <w:sz w:val="24"/>
        </w:rPr>
        <w:t> </w:t>
      </w:r>
      <w:r>
        <w:rPr>
          <w:sz w:val="24"/>
        </w:rPr>
        <w:t>delivering</w:t>
      </w:r>
      <w:r>
        <w:rPr>
          <w:spacing w:val="-6"/>
          <w:sz w:val="24"/>
        </w:rPr>
        <w:t> </w:t>
      </w:r>
      <w:r>
        <w:rPr>
          <w:sz w:val="24"/>
        </w:rPr>
        <w:t>carrier.</w:t>
      </w:r>
      <w:r>
        <w:rPr>
          <w:spacing w:val="-4"/>
          <w:sz w:val="24"/>
        </w:rPr>
        <w:t> </w:t>
      </w:r>
      <w:r>
        <w:rPr>
          <w:sz w:val="24"/>
        </w:rPr>
        <w:t>Alternatively,</w:t>
      </w:r>
      <w:r>
        <w:rPr>
          <w:spacing w:val="-9"/>
          <w:sz w:val="24"/>
        </w:rPr>
        <w:t> </w:t>
      </w:r>
      <w:r>
        <w:rPr>
          <w:sz w:val="24"/>
        </w:rPr>
        <w:t>the</w:t>
      </w:r>
      <w:r>
        <w:rPr>
          <w:spacing w:val="-11"/>
          <w:sz w:val="24"/>
        </w:rPr>
        <w:t> </w:t>
      </w:r>
      <w:r>
        <w:rPr>
          <w:sz w:val="24"/>
        </w:rPr>
        <w:t>product</w:t>
      </w:r>
      <w:r>
        <w:rPr>
          <w:spacing w:val="-8"/>
          <w:sz w:val="24"/>
        </w:rPr>
        <w:t> </w:t>
      </w:r>
      <w:r>
        <w:rPr>
          <w:sz w:val="24"/>
        </w:rPr>
        <w:t>may be placed into Private Account on behalf of the Vendor and the Vendor will be notified via e-mail. The Vendor shall have five business days to remove such product from Private Account. If the Vendor fails to provide reasonable disposition instructions within five business days, the PLCB may, in its sole discretion, return or dispose of such product and invoice the Vendor for handling</w:t>
      </w:r>
      <w:r>
        <w:rPr>
          <w:spacing w:val="-1"/>
          <w:sz w:val="24"/>
        </w:rPr>
        <w:t> </w:t>
      </w:r>
      <w:r>
        <w:rPr>
          <w:sz w:val="24"/>
        </w:rPr>
        <w:t>charges.</w:t>
      </w:r>
    </w:p>
    <w:p>
      <w:pPr>
        <w:pStyle w:val="BodyText"/>
        <w:spacing w:before="7"/>
        <w:rPr>
          <w:sz w:val="26"/>
        </w:rPr>
      </w:pPr>
    </w:p>
    <w:p>
      <w:pPr>
        <w:pStyle w:val="ListParagraph"/>
        <w:numPr>
          <w:ilvl w:val="1"/>
          <w:numId w:val="2"/>
        </w:numPr>
        <w:tabs>
          <w:tab w:pos="1380" w:val="left" w:leader="none"/>
        </w:tabs>
        <w:spacing w:line="240" w:lineRule="auto" w:before="0" w:after="0"/>
        <w:ind w:left="1380" w:right="0" w:hanging="360"/>
        <w:jc w:val="left"/>
        <w:rPr>
          <w:sz w:val="24"/>
        </w:rPr>
      </w:pPr>
      <w:r>
        <w:rPr>
          <w:sz w:val="24"/>
        </w:rPr>
        <w:t>Damage</w:t>
      </w:r>
    </w:p>
    <w:p>
      <w:pPr>
        <w:pStyle w:val="BodyText"/>
        <w:spacing w:before="10"/>
        <w:rPr>
          <w:sz w:val="26"/>
        </w:rPr>
      </w:pPr>
    </w:p>
    <w:p>
      <w:pPr>
        <w:pStyle w:val="ListParagraph"/>
        <w:numPr>
          <w:ilvl w:val="2"/>
          <w:numId w:val="2"/>
        </w:numPr>
        <w:tabs>
          <w:tab w:pos="2100" w:val="left" w:leader="none"/>
        </w:tabs>
        <w:spacing w:line="244" w:lineRule="auto" w:before="1" w:after="0"/>
        <w:ind w:left="2100" w:right="524" w:hanging="360"/>
        <w:jc w:val="both"/>
        <w:rPr>
          <w:sz w:val="24"/>
        </w:rPr>
      </w:pPr>
      <w:r>
        <w:rPr>
          <w:sz w:val="24"/>
        </w:rPr>
        <w:t>When product is received with any amount of Damage, the PLCB will notify the Vendor within two business days. The PLCB will recoup the damaged merchandise and will charge the Vendor for such services. The Vendor agrees to pay all applicable charges related to recouping. The PLCB reserves the sole right to determine if merchandise is</w:t>
      </w:r>
      <w:r>
        <w:rPr>
          <w:spacing w:val="-4"/>
          <w:sz w:val="24"/>
        </w:rPr>
        <w:t> </w:t>
      </w:r>
      <w:r>
        <w:rPr>
          <w:sz w:val="24"/>
        </w:rPr>
        <w:t>damaged.</w:t>
      </w:r>
    </w:p>
    <w:p>
      <w:pPr>
        <w:pStyle w:val="BodyText"/>
        <w:spacing w:before="8"/>
        <w:rPr>
          <w:sz w:val="27"/>
        </w:rPr>
      </w:pPr>
    </w:p>
    <w:p>
      <w:pPr>
        <w:pStyle w:val="ListParagraph"/>
        <w:numPr>
          <w:ilvl w:val="2"/>
          <w:numId w:val="2"/>
        </w:numPr>
        <w:tabs>
          <w:tab w:pos="2100" w:val="left" w:leader="none"/>
        </w:tabs>
        <w:spacing w:line="247" w:lineRule="auto" w:before="0" w:after="0"/>
        <w:ind w:left="2100" w:right="524" w:hanging="360"/>
        <w:jc w:val="both"/>
        <w:rPr>
          <w:sz w:val="24"/>
        </w:rPr>
      </w:pPr>
      <w:r>
        <w:rPr>
          <w:sz w:val="24"/>
        </w:rPr>
        <w:t>When</w:t>
      </w:r>
      <w:r>
        <w:rPr>
          <w:spacing w:val="-9"/>
          <w:sz w:val="24"/>
        </w:rPr>
        <w:t> </w:t>
      </w:r>
      <w:r>
        <w:rPr>
          <w:sz w:val="24"/>
        </w:rPr>
        <w:t>the</w:t>
      </w:r>
      <w:r>
        <w:rPr>
          <w:spacing w:val="-7"/>
          <w:sz w:val="24"/>
        </w:rPr>
        <w:t> </w:t>
      </w:r>
      <w:r>
        <w:rPr>
          <w:sz w:val="24"/>
        </w:rPr>
        <w:t>PLCB</w:t>
      </w:r>
      <w:r>
        <w:rPr>
          <w:spacing w:val="-8"/>
          <w:sz w:val="24"/>
        </w:rPr>
        <w:t> </w:t>
      </w:r>
      <w:r>
        <w:rPr>
          <w:sz w:val="24"/>
        </w:rPr>
        <w:t>discovers</w:t>
      </w:r>
      <w:r>
        <w:rPr>
          <w:spacing w:val="-8"/>
          <w:sz w:val="24"/>
        </w:rPr>
        <w:t> </w:t>
      </w:r>
      <w:r>
        <w:rPr>
          <w:sz w:val="24"/>
        </w:rPr>
        <w:t>substantial</w:t>
      </w:r>
      <w:r>
        <w:rPr>
          <w:spacing w:val="-8"/>
          <w:sz w:val="24"/>
        </w:rPr>
        <w:t> </w:t>
      </w:r>
      <w:r>
        <w:rPr>
          <w:sz w:val="24"/>
        </w:rPr>
        <w:t>Damage</w:t>
      </w:r>
      <w:r>
        <w:rPr>
          <w:spacing w:val="-10"/>
          <w:sz w:val="24"/>
        </w:rPr>
        <w:t> </w:t>
      </w:r>
      <w:r>
        <w:rPr>
          <w:sz w:val="24"/>
        </w:rPr>
        <w:t>to</w:t>
      </w:r>
      <w:r>
        <w:rPr>
          <w:spacing w:val="-6"/>
          <w:sz w:val="24"/>
        </w:rPr>
        <w:t> </w:t>
      </w:r>
      <w:r>
        <w:rPr>
          <w:sz w:val="24"/>
        </w:rPr>
        <w:t>a</w:t>
      </w:r>
      <w:r>
        <w:rPr>
          <w:spacing w:val="-7"/>
          <w:sz w:val="24"/>
        </w:rPr>
        <w:t> </w:t>
      </w:r>
      <w:r>
        <w:rPr>
          <w:sz w:val="24"/>
        </w:rPr>
        <w:t>shipment</w:t>
      </w:r>
      <w:r>
        <w:rPr>
          <w:spacing w:val="-7"/>
          <w:sz w:val="24"/>
        </w:rPr>
        <w:t> </w:t>
      </w:r>
      <w:r>
        <w:rPr>
          <w:sz w:val="24"/>
        </w:rPr>
        <w:t>of</w:t>
      </w:r>
      <w:r>
        <w:rPr>
          <w:spacing w:val="-7"/>
          <w:sz w:val="24"/>
        </w:rPr>
        <w:t> </w:t>
      </w:r>
      <w:r>
        <w:rPr>
          <w:sz w:val="24"/>
        </w:rPr>
        <w:t>cases,</w:t>
      </w:r>
      <w:r>
        <w:rPr>
          <w:spacing w:val="-6"/>
          <w:sz w:val="24"/>
        </w:rPr>
        <w:t> </w:t>
      </w:r>
      <w:r>
        <w:rPr>
          <w:sz w:val="24"/>
        </w:rPr>
        <w:t>the</w:t>
      </w:r>
      <w:r>
        <w:rPr>
          <w:spacing w:val="-7"/>
          <w:sz w:val="24"/>
        </w:rPr>
        <w:t> </w:t>
      </w:r>
      <w:r>
        <w:rPr>
          <w:sz w:val="24"/>
        </w:rPr>
        <w:t>truck will be sealed, and the Vendor will be notified. Photographic evidence will be obtained by the PLCB and provided to the vendor. The Vendor will be responsible</w:t>
      </w:r>
      <w:r>
        <w:rPr>
          <w:spacing w:val="-14"/>
          <w:sz w:val="24"/>
        </w:rPr>
        <w:t> </w:t>
      </w:r>
      <w:r>
        <w:rPr>
          <w:sz w:val="24"/>
        </w:rPr>
        <w:t>for</w:t>
      </w:r>
      <w:r>
        <w:rPr>
          <w:spacing w:val="-12"/>
          <w:sz w:val="24"/>
        </w:rPr>
        <w:t> </w:t>
      </w:r>
      <w:r>
        <w:rPr>
          <w:sz w:val="24"/>
        </w:rPr>
        <w:t>determining</w:t>
      </w:r>
      <w:r>
        <w:rPr>
          <w:spacing w:val="-13"/>
          <w:sz w:val="24"/>
        </w:rPr>
        <w:t> </w:t>
      </w:r>
      <w:r>
        <w:rPr>
          <w:sz w:val="24"/>
        </w:rPr>
        <w:t>how</w:t>
      </w:r>
      <w:r>
        <w:rPr>
          <w:spacing w:val="-13"/>
          <w:sz w:val="24"/>
        </w:rPr>
        <w:t> </w:t>
      </w:r>
      <w:r>
        <w:rPr>
          <w:sz w:val="24"/>
        </w:rPr>
        <w:t>the</w:t>
      </w:r>
      <w:r>
        <w:rPr>
          <w:spacing w:val="-14"/>
          <w:sz w:val="24"/>
        </w:rPr>
        <w:t> </w:t>
      </w:r>
      <w:r>
        <w:rPr>
          <w:sz w:val="24"/>
        </w:rPr>
        <w:t>damaged</w:t>
      </w:r>
      <w:r>
        <w:rPr>
          <w:spacing w:val="-11"/>
          <w:sz w:val="24"/>
        </w:rPr>
        <w:t> </w:t>
      </w:r>
      <w:r>
        <w:rPr>
          <w:sz w:val="24"/>
        </w:rPr>
        <w:t>cases</w:t>
      </w:r>
      <w:r>
        <w:rPr>
          <w:spacing w:val="-13"/>
          <w:sz w:val="24"/>
        </w:rPr>
        <w:t> </w:t>
      </w:r>
      <w:r>
        <w:rPr>
          <w:sz w:val="24"/>
        </w:rPr>
        <w:t>are</w:t>
      </w:r>
      <w:r>
        <w:rPr>
          <w:spacing w:val="-11"/>
          <w:sz w:val="24"/>
        </w:rPr>
        <w:t> </w:t>
      </w:r>
      <w:r>
        <w:rPr>
          <w:sz w:val="24"/>
        </w:rPr>
        <w:t>to</w:t>
      </w:r>
      <w:r>
        <w:rPr>
          <w:spacing w:val="-13"/>
          <w:sz w:val="24"/>
        </w:rPr>
        <w:t> </w:t>
      </w:r>
      <w:r>
        <w:rPr>
          <w:sz w:val="24"/>
        </w:rPr>
        <w:t>be</w:t>
      </w:r>
      <w:r>
        <w:rPr>
          <w:spacing w:val="-12"/>
          <w:sz w:val="24"/>
        </w:rPr>
        <w:t> </w:t>
      </w:r>
      <w:r>
        <w:rPr>
          <w:sz w:val="24"/>
        </w:rPr>
        <w:t>handled.</w:t>
      </w:r>
      <w:r>
        <w:rPr>
          <w:spacing w:val="37"/>
          <w:sz w:val="24"/>
        </w:rPr>
        <w:t> </w:t>
      </w:r>
      <w:r>
        <w:rPr>
          <w:sz w:val="24"/>
        </w:rPr>
        <w:t>No</w:t>
      </w:r>
      <w:r>
        <w:rPr>
          <w:spacing w:val="-11"/>
          <w:sz w:val="24"/>
        </w:rPr>
        <w:t> </w:t>
      </w:r>
      <w:r>
        <w:rPr>
          <w:sz w:val="24"/>
        </w:rPr>
        <w:t>cases from</w:t>
      </w:r>
      <w:r>
        <w:rPr>
          <w:spacing w:val="-6"/>
          <w:sz w:val="24"/>
        </w:rPr>
        <w:t> </w:t>
      </w:r>
      <w:r>
        <w:rPr>
          <w:sz w:val="24"/>
        </w:rPr>
        <w:t>the</w:t>
      </w:r>
      <w:r>
        <w:rPr>
          <w:spacing w:val="-7"/>
          <w:sz w:val="24"/>
        </w:rPr>
        <w:t> </w:t>
      </w:r>
      <w:r>
        <w:rPr>
          <w:sz w:val="24"/>
        </w:rPr>
        <w:t>damaged</w:t>
      </w:r>
      <w:r>
        <w:rPr>
          <w:spacing w:val="-6"/>
          <w:sz w:val="24"/>
        </w:rPr>
        <w:t> </w:t>
      </w:r>
      <w:r>
        <w:rPr>
          <w:sz w:val="24"/>
        </w:rPr>
        <w:t>shipment</w:t>
      </w:r>
      <w:r>
        <w:rPr>
          <w:spacing w:val="-5"/>
          <w:sz w:val="24"/>
        </w:rPr>
        <w:t> </w:t>
      </w:r>
      <w:r>
        <w:rPr>
          <w:sz w:val="24"/>
        </w:rPr>
        <w:t>will</w:t>
      </w:r>
      <w:r>
        <w:rPr>
          <w:spacing w:val="-6"/>
          <w:sz w:val="24"/>
        </w:rPr>
        <w:t> </w:t>
      </w:r>
      <w:r>
        <w:rPr>
          <w:sz w:val="24"/>
        </w:rPr>
        <w:t>be</w:t>
      </w:r>
      <w:r>
        <w:rPr>
          <w:spacing w:val="-7"/>
          <w:sz w:val="24"/>
        </w:rPr>
        <w:t> </w:t>
      </w:r>
      <w:r>
        <w:rPr>
          <w:sz w:val="24"/>
        </w:rPr>
        <w:t>received</w:t>
      </w:r>
      <w:r>
        <w:rPr>
          <w:spacing w:val="-6"/>
          <w:sz w:val="24"/>
        </w:rPr>
        <w:t> </w:t>
      </w:r>
      <w:r>
        <w:rPr>
          <w:sz w:val="24"/>
        </w:rPr>
        <w:t>into</w:t>
      </w:r>
      <w:r>
        <w:rPr>
          <w:spacing w:val="-5"/>
          <w:sz w:val="24"/>
        </w:rPr>
        <w:t> </w:t>
      </w:r>
      <w:r>
        <w:rPr>
          <w:sz w:val="24"/>
        </w:rPr>
        <w:t>the</w:t>
      </w:r>
      <w:r>
        <w:rPr>
          <w:spacing w:val="-7"/>
          <w:sz w:val="24"/>
        </w:rPr>
        <w:t> </w:t>
      </w:r>
      <w:r>
        <w:rPr>
          <w:sz w:val="24"/>
        </w:rPr>
        <w:t>PLCB</w:t>
      </w:r>
      <w:r>
        <w:rPr>
          <w:spacing w:val="-6"/>
          <w:sz w:val="24"/>
        </w:rPr>
        <w:t> </w:t>
      </w:r>
      <w:r>
        <w:rPr>
          <w:sz w:val="24"/>
        </w:rPr>
        <w:t>DC</w:t>
      </w:r>
      <w:r>
        <w:rPr>
          <w:spacing w:val="-6"/>
          <w:sz w:val="24"/>
        </w:rPr>
        <w:t> </w:t>
      </w:r>
      <w:r>
        <w:rPr>
          <w:sz w:val="24"/>
        </w:rPr>
        <w:t>until</w:t>
      </w:r>
      <w:r>
        <w:rPr>
          <w:spacing w:val="-5"/>
          <w:sz w:val="24"/>
        </w:rPr>
        <w:t> </w:t>
      </w:r>
      <w:r>
        <w:rPr>
          <w:sz w:val="24"/>
        </w:rPr>
        <w:t>the</w:t>
      </w:r>
      <w:r>
        <w:rPr>
          <w:spacing w:val="-7"/>
          <w:sz w:val="24"/>
        </w:rPr>
        <w:t> </w:t>
      </w:r>
      <w:r>
        <w:rPr>
          <w:sz w:val="24"/>
        </w:rPr>
        <w:t>PLCB is satisfied with the Vendor’s</w:t>
      </w:r>
      <w:r>
        <w:rPr>
          <w:spacing w:val="-2"/>
          <w:sz w:val="24"/>
        </w:rPr>
        <w:t> </w:t>
      </w:r>
      <w:r>
        <w:rPr>
          <w:sz w:val="24"/>
        </w:rPr>
        <w:t>determination.</w:t>
      </w:r>
    </w:p>
    <w:p>
      <w:pPr>
        <w:spacing w:after="0" w:line="247" w:lineRule="auto"/>
        <w:jc w:val="both"/>
        <w:rPr>
          <w:sz w:val="24"/>
        </w:rPr>
        <w:sectPr>
          <w:pgSz w:w="12240" w:h="15840"/>
          <w:pgMar w:header="0" w:footer="1006" w:top="1380" w:bottom="1200" w:left="1140" w:right="900"/>
        </w:sectPr>
      </w:pPr>
    </w:p>
    <w:p>
      <w:pPr>
        <w:pStyle w:val="ListParagraph"/>
        <w:numPr>
          <w:ilvl w:val="2"/>
          <w:numId w:val="2"/>
        </w:numPr>
        <w:tabs>
          <w:tab w:pos="2100" w:val="left" w:leader="none"/>
        </w:tabs>
        <w:spacing w:line="244" w:lineRule="auto" w:before="69" w:after="0"/>
        <w:ind w:left="2100" w:right="525" w:hanging="360"/>
        <w:jc w:val="both"/>
        <w:rPr>
          <w:sz w:val="24"/>
        </w:rPr>
      </w:pPr>
      <w:r>
        <w:rPr>
          <w:sz w:val="24"/>
        </w:rPr>
        <w:t>It will be the sole responsibility of the Vendor to file claims with the carrier to recover the cost of any Damages that occurred during the transportation of the bailed</w:t>
      </w:r>
      <w:r>
        <w:rPr>
          <w:spacing w:val="-1"/>
          <w:sz w:val="24"/>
        </w:rPr>
        <w:t> </w:t>
      </w:r>
      <w:r>
        <w:rPr>
          <w:sz w:val="24"/>
        </w:rPr>
        <w:t>product.</w:t>
      </w:r>
    </w:p>
    <w:p>
      <w:pPr>
        <w:pStyle w:val="BodyText"/>
        <w:spacing w:before="1"/>
        <w:rPr>
          <w:sz w:val="27"/>
        </w:rPr>
      </w:pPr>
    </w:p>
    <w:p>
      <w:pPr>
        <w:pStyle w:val="ListParagraph"/>
        <w:numPr>
          <w:ilvl w:val="0"/>
          <w:numId w:val="2"/>
        </w:numPr>
        <w:tabs>
          <w:tab w:pos="1020" w:val="left" w:leader="none"/>
        </w:tabs>
        <w:spacing w:line="240" w:lineRule="auto" w:before="0" w:after="0"/>
        <w:ind w:left="1020" w:right="527" w:hanging="720"/>
        <w:jc w:val="both"/>
        <w:rPr>
          <w:sz w:val="24"/>
        </w:rPr>
      </w:pPr>
      <w:r>
        <w:rPr>
          <w:sz w:val="24"/>
        </w:rPr>
        <w:t>Only Salable Product shall be received into the bailment inventory for the Vendor. The PLCB reserves the right to refuse receipt of Unsalable Product at the PLCB</w:t>
      </w:r>
      <w:r>
        <w:rPr>
          <w:spacing w:val="-12"/>
          <w:sz w:val="24"/>
        </w:rPr>
        <w:t> </w:t>
      </w:r>
      <w:r>
        <w:rPr>
          <w:sz w:val="24"/>
        </w:rPr>
        <w:t>DC.</w:t>
      </w:r>
    </w:p>
    <w:p>
      <w:pPr>
        <w:pStyle w:val="BodyText"/>
        <w:spacing w:before="8"/>
        <w:rPr>
          <w:sz w:val="27"/>
        </w:rPr>
      </w:pPr>
    </w:p>
    <w:p>
      <w:pPr>
        <w:pStyle w:val="ListParagraph"/>
        <w:numPr>
          <w:ilvl w:val="0"/>
          <w:numId w:val="2"/>
        </w:numPr>
        <w:tabs>
          <w:tab w:pos="1020" w:val="left" w:leader="none"/>
        </w:tabs>
        <w:spacing w:line="244" w:lineRule="auto" w:before="0" w:after="0"/>
        <w:ind w:left="1020" w:right="525" w:hanging="720"/>
        <w:jc w:val="both"/>
        <w:rPr>
          <w:sz w:val="24"/>
        </w:rPr>
      </w:pPr>
      <w:r>
        <w:rPr>
          <w:sz w:val="24"/>
        </w:rPr>
        <w:t>Unsalable Product received at a PLCB DC shall be placed in Private Account, where it shall</w:t>
      </w:r>
      <w:r>
        <w:rPr>
          <w:spacing w:val="-8"/>
          <w:sz w:val="24"/>
        </w:rPr>
        <w:t> </w:t>
      </w:r>
      <w:r>
        <w:rPr>
          <w:sz w:val="24"/>
        </w:rPr>
        <w:t>be</w:t>
      </w:r>
      <w:r>
        <w:rPr>
          <w:spacing w:val="-10"/>
          <w:sz w:val="24"/>
        </w:rPr>
        <w:t> </w:t>
      </w:r>
      <w:r>
        <w:rPr>
          <w:sz w:val="24"/>
        </w:rPr>
        <w:t>held</w:t>
      </w:r>
      <w:r>
        <w:rPr>
          <w:spacing w:val="-9"/>
          <w:sz w:val="24"/>
        </w:rPr>
        <w:t> </w:t>
      </w:r>
      <w:r>
        <w:rPr>
          <w:sz w:val="24"/>
        </w:rPr>
        <w:t>until</w:t>
      </w:r>
      <w:r>
        <w:rPr>
          <w:spacing w:val="-7"/>
          <w:sz w:val="24"/>
        </w:rPr>
        <w:t> </w:t>
      </w:r>
      <w:r>
        <w:rPr>
          <w:sz w:val="24"/>
        </w:rPr>
        <w:t>a</w:t>
      </w:r>
      <w:r>
        <w:rPr>
          <w:spacing w:val="-10"/>
          <w:sz w:val="24"/>
        </w:rPr>
        <w:t> </w:t>
      </w:r>
      <w:r>
        <w:rPr>
          <w:sz w:val="24"/>
        </w:rPr>
        <w:t>disposition</w:t>
      </w:r>
      <w:r>
        <w:rPr>
          <w:spacing w:val="-9"/>
          <w:sz w:val="24"/>
        </w:rPr>
        <w:t> </w:t>
      </w:r>
      <w:r>
        <w:rPr>
          <w:sz w:val="24"/>
        </w:rPr>
        <w:t>determination</w:t>
      </w:r>
      <w:r>
        <w:rPr>
          <w:spacing w:val="-8"/>
          <w:sz w:val="24"/>
        </w:rPr>
        <w:t> </w:t>
      </w:r>
      <w:r>
        <w:rPr>
          <w:sz w:val="24"/>
        </w:rPr>
        <w:t>is</w:t>
      </w:r>
      <w:r>
        <w:rPr>
          <w:spacing w:val="-8"/>
          <w:sz w:val="24"/>
        </w:rPr>
        <w:t> </w:t>
      </w:r>
      <w:r>
        <w:rPr>
          <w:sz w:val="24"/>
        </w:rPr>
        <w:t>made.</w:t>
      </w:r>
      <w:r>
        <w:rPr>
          <w:spacing w:val="47"/>
          <w:sz w:val="24"/>
        </w:rPr>
        <w:t> </w:t>
      </w:r>
      <w:r>
        <w:rPr>
          <w:sz w:val="24"/>
        </w:rPr>
        <w:t>Any</w:t>
      </w:r>
      <w:r>
        <w:rPr>
          <w:spacing w:val="-6"/>
          <w:sz w:val="24"/>
        </w:rPr>
        <w:t> </w:t>
      </w:r>
      <w:r>
        <w:rPr>
          <w:sz w:val="24"/>
        </w:rPr>
        <w:t>Unsalable</w:t>
      </w:r>
      <w:r>
        <w:rPr>
          <w:spacing w:val="-7"/>
          <w:sz w:val="24"/>
        </w:rPr>
        <w:t> </w:t>
      </w:r>
      <w:r>
        <w:rPr>
          <w:sz w:val="24"/>
        </w:rPr>
        <w:t>Product</w:t>
      </w:r>
      <w:r>
        <w:rPr>
          <w:spacing w:val="-7"/>
          <w:sz w:val="24"/>
        </w:rPr>
        <w:t> </w:t>
      </w:r>
      <w:r>
        <w:rPr>
          <w:sz w:val="24"/>
        </w:rPr>
        <w:t>received</w:t>
      </w:r>
      <w:r>
        <w:rPr>
          <w:spacing w:val="-6"/>
          <w:sz w:val="24"/>
        </w:rPr>
        <w:t> </w:t>
      </w:r>
      <w:r>
        <w:rPr>
          <w:sz w:val="24"/>
        </w:rPr>
        <w:t>or warehoused</w:t>
      </w:r>
      <w:r>
        <w:rPr>
          <w:spacing w:val="-10"/>
          <w:sz w:val="24"/>
        </w:rPr>
        <w:t> </w:t>
      </w:r>
      <w:r>
        <w:rPr>
          <w:sz w:val="24"/>
        </w:rPr>
        <w:t>at</w:t>
      </w:r>
      <w:r>
        <w:rPr>
          <w:spacing w:val="-6"/>
          <w:sz w:val="24"/>
        </w:rPr>
        <w:t> </w:t>
      </w:r>
      <w:r>
        <w:rPr>
          <w:sz w:val="24"/>
        </w:rPr>
        <w:t>a</w:t>
      </w:r>
      <w:r>
        <w:rPr>
          <w:spacing w:val="-10"/>
          <w:sz w:val="24"/>
        </w:rPr>
        <w:t> </w:t>
      </w:r>
      <w:r>
        <w:rPr>
          <w:sz w:val="24"/>
        </w:rPr>
        <w:t>PLCB</w:t>
      </w:r>
      <w:r>
        <w:rPr>
          <w:spacing w:val="-8"/>
          <w:sz w:val="24"/>
        </w:rPr>
        <w:t> </w:t>
      </w:r>
      <w:r>
        <w:rPr>
          <w:sz w:val="24"/>
        </w:rPr>
        <w:t>DC</w:t>
      </w:r>
      <w:r>
        <w:rPr>
          <w:spacing w:val="-8"/>
          <w:sz w:val="24"/>
        </w:rPr>
        <w:t> </w:t>
      </w:r>
      <w:r>
        <w:rPr>
          <w:sz w:val="24"/>
        </w:rPr>
        <w:t>will</w:t>
      </w:r>
      <w:r>
        <w:rPr>
          <w:spacing w:val="-8"/>
          <w:sz w:val="24"/>
        </w:rPr>
        <w:t> </w:t>
      </w:r>
      <w:r>
        <w:rPr>
          <w:sz w:val="24"/>
        </w:rPr>
        <w:t>be</w:t>
      </w:r>
      <w:r>
        <w:rPr>
          <w:spacing w:val="-10"/>
          <w:sz w:val="24"/>
        </w:rPr>
        <w:t> </w:t>
      </w:r>
      <w:r>
        <w:rPr>
          <w:sz w:val="24"/>
        </w:rPr>
        <w:t>disposed</w:t>
      </w:r>
      <w:r>
        <w:rPr>
          <w:spacing w:val="-9"/>
          <w:sz w:val="24"/>
        </w:rPr>
        <w:t> </w:t>
      </w:r>
      <w:r>
        <w:rPr>
          <w:sz w:val="24"/>
        </w:rPr>
        <w:t>of</w:t>
      </w:r>
      <w:r>
        <w:rPr>
          <w:spacing w:val="-9"/>
          <w:sz w:val="24"/>
        </w:rPr>
        <w:t> </w:t>
      </w:r>
      <w:r>
        <w:rPr>
          <w:sz w:val="24"/>
        </w:rPr>
        <w:t>in</w:t>
      </w:r>
      <w:r>
        <w:rPr>
          <w:spacing w:val="-6"/>
          <w:sz w:val="24"/>
        </w:rPr>
        <w:t> </w:t>
      </w:r>
      <w:r>
        <w:rPr>
          <w:sz w:val="24"/>
        </w:rPr>
        <w:t>accordance</w:t>
      </w:r>
      <w:r>
        <w:rPr>
          <w:spacing w:val="-7"/>
          <w:sz w:val="24"/>
        </w:rPr>
        <w:t> </w:t>
      </w:r>
      <w:r>
        <w:rPr>
          <w:sz w:val="24"/>
        </w:rPr>
        <w:t>with</w:t>
      </w:r>
      <w:r>
        <w:rPr>
          <w:spacing w:val="-9"/>
          <w:sz w:val="24"/>
        </w:rPr>
        <w:t> </w:t>
      </w:r>
      <w:r>
        <w:rPr>
          <w:sz w:val="24"/>
        </w:rPr>
        <w:t>instructions</w:t>
      </w:r>
      <w:r>
        <w:rPr>
          <w:spacing w:val="-8"/>
          <w:sz w:val="24"/>
        </w:rPr>
        <w:t> </w:t>
      </w:r>
      <w:r>
        <w:rPr>
          <w:sz w:val="24"/>
        </w:rPr>
        <w:t>provided</w:t>
      </w:r>
      <w:r>
        <w:rPr>
          <w:spacing w:val="-9"/>
          <w:sz w:val="24"/>
        </w:rPr>
        <w:t> </w:t>
      </w:r>
      <w:r>
        <w:rPr>
          <w:sz w:val="24"/>
        </w:rPr>
        <w:t>by the Vendor. Such disposition instructions must be provided by the Vendor within ten business days</w:t>
      </w:r>
      <w:r>
        <w:rPr>
          <w:spacing w:val="-1"/>
          <w:sz w:val="24"/>
        </w:rPr>
        <w:t> </w:t>
      </w:r>
      <w:r>
        <w:rPr>
          <w:sz w:val="24"/>
        </w:rPr>
        <w:t>after</w:t>
      </w:r>
    </w:p>
    <w:p>
      <w:pPr>
        <w:pStyle w:val="BodyText"/>
        <w:spacing w:before="8"/>
        <w:rPr>
          <w:sz w:val="27"/>
        </w:rPr>
      </w:pPr>
    </w:p>
    <w:p>
      <w:pPr>
        <w:pStyle w:val="BodyText"/>
        <w:spacing w:line="247" w:lineRule="auto"/>
        <w:ind w:left="1029" w:right="573" w:hanging="10"/>
      </w:pPr>
      <w:r>
        <w:rPr/>
        <w:t>the Vendor is notified of the receipt of Unsalable Product or of the PLCB’s decision to delist the product.</w:t>
      </w:r>
    </w:p>
    <w:p>
      <w:pPr>
        <w:pStyle w:val="BodyText"/>
        <w:spacing w:before="3"/>
        <w:rPr>
          <w:sz w:val="27"/>
        </w:rPr>
      </w:pPr>
    </w:p>
    <w:p>
      <w:pPr>
        <w:pStyle w:val="ListParagraph"/>
        <w:numPr>
          <w:ilvl w:val="1"/>
          <w:numId w:val="2"/>
        </w:numPr>
        <w:tabs>
          <w:tab w:pos="1380" w:val="left" w:leader="none"/>
        </w:tabs>
        <w:spacing w:line="247" w:lineRule="auto" w:before="0" w:after="0"/>
        <w:ind w:left="1380" w:right="526" w:hanging="360"/>
        <w:jc w:val="both"/>
        <w:rPr>
          <w:sz w:val="24"/>
        </w:rPr>
      </w:pPr>
      <w:r>
        <w:rPr>
          <w:sz w:val="24"/>
        </w:rPr>
        <w:t>If the Vendor fails to provide reasonable disposition instructions within ten business days, the PLCB may, in its sole discretion, destroy the Unsalable Product and invoice the</w:t>
      </w:r>
      <w:r>
        <w:rPr>
          <w:spacing w:val="-5"/>
          <w:sz w:val="24"/>
        </w:rPr>
        <w:t> </w:t>
      </w:r>
      <w:r>
        <w:rPr>
          <w:sz w:val="24"/>
        </w:rPr>
        <w:t>Vendor</w:t>
      </w:r>
      <w:r>
        <w:rPr>
          <w:spacing w:val="-5"/>
          <w:sz w:val="24"/>
        </w:rPr>
        <w:t> </w:t>
      </w:r>
      <w:r>
        <w:rPr>
          <w:sz w:val="24"/>
        </w:rPr>
        <w:t>for</w:t>
      </w:r>
      <w:r>
        <w:rPr>
          <w:spacing w:val="-5"/>
          <w:sz w:val="24"/>
        </w:rPr>
        <w:t> </w:t>
      </w:r>
      <w:r>
        <w:rPr>
          <w:sz w:val="24"/>
        </w:rPr>
        <w:t>charges</w:t>
      </w:r>
      <w:r>
        <w:rPr>
          <w:spacing w:val="-4"/>
          <w:sz w:val="24"/>
        </w:rPr>
        <w:t> </w:t>
      </w:r>
      <w:r>
        <w:rPr>
          <w:sz w:val="24"/>
        </w:rPr>
        <w:t>related</w:t>
      </w:r>
      <w:r>
        <w:rPr>
          <w:spacing w:val="-3"/>
          <w:sz w:val="24"/>
        </w:rPr>
        <w:t> </w:t>
      </w:r>
      <w:r>
        <w:rPr>
          <w:sz w:val="24"/>
        </w:rPr>
        <w:t>to</w:t>
      </w:r>
      <w:r>
        <w:rPr>
          <w:spacing w:val="-4"/>
          <w:sz w:val="24"/>
        </w:rPr>
        <w:t> </w:t>
      </w:r>
      <w:r>
        <w:rPr>
          <w:sz w:val="24"/>
        </w:rPr>
        <w:t>such</w:t>
      </w:r>
      <w:r>
        <w:rPr>
          <w:spacing w:val="-4"/>
          <w:sz w:val="24"/>
        </w:rPr>
        <w:t> </w:t>
      </w:r>
      <w:r>
        <w:rPr>
          <w:sz w:val="24"/>
        </w:rPr>
        <w:t>destruction,</w:t>
      </w:r>
      <w:r>
        <w:rPr>
          <w:spacing w:val="-1"/>
          <w:sz w:val="24"/>
        </w:rPr>
        <w:t> </w:t>
      </w:r>
      <w:r>
        <w:rPr>
          <w:sz w:val="24"/>
        </w:rPr>
        <w:t>or</w:t>
      </w:r>
      <w:r>
        <w:rPr>
          <w:spacing w:val="-5"/>
          <w:sz w:val="24"/>
        </w:rPr>
        <w:t> </w:t>
      </w:r>
      <w:r>
        <w:rPr>
          <w:sz w:val="24"/>
        </w:rPr>
        <w:t>ship</w:t>
      </w:r>
      <w:r>
        <w:rPr>
          <w:spacing w:val="-3"/>
          <w:sz w:val="24"/>
        </w:rPr>
        <w:t> </w:t>
      </w:r>
      <w:r>
        <w:rPr>
          <w:sz w:val="24"/>
        </w:rPr>
        <w:t>the</w:t>
      </w:r>
      <w:r>
        <w:rPr>
          <w:spacing w:val="-5"/>
          <w:sz w:val="24"/>
        </w:rPr>
        <w:t> </w:t>
      </w:r>
      <w:r>
        <w:rPr>
          <w:sz w:val="24"/>
        </w:rPr>
        <w:t>product</w:t>
      </w:r>
      <w:r>
        <w:rPr>
          <w:spacing w:val="-3"/>
          <w:sz w:val="24"/>
        </w:rPr>
        <w:t> </w:t>
      </w:r>
      <w:r>
        <w:rPr>
          <w:sz w:val="24"/>
        </w:rPr>
        <w:t>to</w:t>
      </w:r>
      <w:r>
        <w:rPr>
          <w:spacing w:val="-4"/>
          <w:sz w:val="24"/>
        </w:rPr>
        <w:t> </w:t>
      </w:r>
      <w:r>
        <w:rPr>
          <w:sz w:val="24"/>
        </w:rPr>
        <w:t>the</w:t>
      </w:r>
      <w:r>
        <w:rPr>
          <w:spacing w:val="-4"/>
          <w:sz w:val="24"/>
        </w:rPr>
        <w:t> </w:t>
      </w:r>
      <w:r>
        <w:rPr>
          <w:sz w:val="24"/>
        </w:rPr>
        <w:t>Vendor</w:t>
      </w:r>
      <w:r>
        <w:rPr>
          <w:spacing w:val="-5"/>
          <w:sz w:val="24"/>
        </w:rPr>
        <w:t> </w:t>
      </w:r>
      <w:r>
        <w:rPr>
          <w:sz w:val="24"/>
        </w:rPr>
        <w:t>at the Vendor’s sole expense, or ship the product to the Vendor’s domestic importation warehouse at the Vendor’s sole</w:t>
      </w:r>
      <w:r>
        <w:rPr>
          <w:spacing w:val="-4"/>
          <w:sz w:val="24"/>
        </w:rPr>
        <w:t> </w:t>
      </w:r>
      <w:r>
        <w:rPr>
          <w:sz w:val="24"/>
        </w:rPr>
        <w:t>expense.</w:t>
      </w:r>
    </w:p>
    <w:p>
      <w:pPr>
        <w:pStyle w:val="BodyText"/>
        <w:spacing w:before="6"/>
        <w:rPr>
          <w:sz w:val="26"/>
        </w:rPr>
      </w:pPr>
    </w:p>
    <w:p>
      <w:pPr>
        <w:pStyle w:val="ListParagraph"/>
        <w:numPr>
          <w:ilvl w:val="1"/>
          <w:numId w:val="2"/>
        </w:numPr>
        <w:tabs>
          <w:tab w:pos="1380" w:val="left" w:leader="none"/>
        </w:tabs>
        <w:spacing w:line="240" w:lineRule="auto" w:before="0" w:after="0"/>
        <w:ind w:left="1380" w:right="526" w:hanging="360"/>
        <w:jc w:val="both"/>
        <w:rPr>
          <w:sz w:val="24"/>
        </w:rPr>
      </w:pPr>
      <w:r>
        <w:rPr>
          <w:sz w:val="24"/>
        </w:rPr>
        <w:t>The PLCB will not be deemed to have purchased any Unsalable Product provided out of bailment stock except under the circumstances set forth in Paragraph</w:t>
      </w:r>
      <w:r>
        <w:rPr>
          <w:spacing w:val="-7"/>
          <w:sz w:val="24"/>
        </w:rPr>
        <w:t> </w:t>
      </w:r>
      <w:r>
        <w:rPr>
          <w:sz w:val="24"/>
        </w:rPr>
        <w:t>19.</w:t>
      </w:r>
    </w:p>
    <w:p>
      <w:pPr>
        <w:pStyle w:val="BodyText"/>
        <w:spacing w:before="8"/>
        <w:rPr>
          <w:sz w:val="27"/>
        </w:rPr>
      </w:pPr>
    </w:p>
    <w:p>
      <w:pPr>
        <w:pStyle w:val="ListParagraph"/>
        <w:numPr>
          <w:ilvl w:val="0"/>
          <w:numId w:val="2"/>
        </w:numPr>
        <w:tabs>
          <w:tab w:pos="1020" w:val="left" w:leader="none"/>
        </w:tabs>
        <w:spacing w:line="242" w:lineRule="auto" w:before="0" w:after="0"/>
        <w:ind w:left="1020" w:right="528" w:hanging="720"/>
        <w:jc w:val="both"/>
        <w:rPr>
          <w:sz w:val="24"/>
        </w:rPr>
      </w:pPr>
      <w:r>
        <w:rPr>
          <w:sz w:val="24"/>
        </w:rPr>
        <w:t>The Vendor Collaboration Portal shall be updated regularly to provide information regarding the bailed product that the PLCB intends to withdraw from bailment for each day’s</w:t>
      </w:r>
      <w:r>
        <w:rPr>
          <w:spacing w:val="-1"/>
          <w:sz w:val="24"/>
        </w:rPr>
        <w:t> </w:t>
      </w:r>
      <w:r>
        <w:rPr>
          <w:sz w:val="24"/>
        </w:rPr>
        <w:t>activity.</w:t>
      </w:r>
    </w:p>
    <w:p>
      <w:pPr>
        <w:pStyle w:val="BodyText"/>
        <w:spacing w:before="9"/>
        <w:rPr>
          <w:sz w:val="27"/>
        </w:rPr>
      </w:pPr>
    </w:p>
    <w:p>
      <w:pPr>
        <w:pStyle w:val="ListParagraph"/>
        <w:numPr>
          <w:ilvl w:val="0"/>
          <w:numId w:val="2"/>
        </w:numPr>
        <w:tabs>
          <w:tab w:pos="1020" w:val="left" w:leader="none"/>
        </w:tabs>
        <w:spacing w:line="240" w:lineRule="auto" w:before="1" w:after="0"/>
        <w:ind w:left="1020" w:right="526" w:hanging="720"/>
        <w:jc w:val="both"/>
        <w:rPr>
          <w:sz w:val="24"/>
        </w:rPr>
      </w:pPr>
      <w:r>
        <w:rPr>
          <w:sz w:val="24"/>
        </w:rPr>
        <w:t>The PLCB will take ownership of the bailed product when it is loaded onto a delivery vehicle for</w:t>
      </w:r>
      <w:r>
        <w:rPr>
          <w:spacing w:val="-3"/>
          <w:sz w:val="24"/>
        </w:rPr>
        <w:t> </w:t>
      </w:r>
      <w:r>
        <w:rPr>
          <w:sz w:val="24"/>
        </w:rPr>
        <w:t>delivery.</w:t>
      </w:r>
    </w:p>
    <w:p>
      <w:pPr>
        <w:pStyle w:val="BodyText"/>
        <w:spacing w:before="10"/>
        <w:rPr>
          <w:sz w:val="27"/>
        </w:rPr>
      </w:pPr>
    </w:p>
    <w:p>
      <w:pPr>
        <w:pStyle w:val="ListParagraph"/>
        <w:numPr>
          <w:ilvl w:val="0"/>
          <w:numId w:val="2"/>
        </w:numPr>
        <w:tabs>
          <w:tab w:pos="1020" w:val="left" w:leader="none"/>
        </w:tabs>
        <w:spacing w:line="247" w:lineRule="auto" w:before="0" w:after="0"/>
        <w:ind w:left="1020" w:right="525" w:hanging="720"/>
        <w:jc w:val="both"/>
        <w:rPr>
          <w:sz w:val="24"/>
        </w:rPr>
      </w:pPr>
      <w:r>
        <w:rPr>
          <w:sz w:val="24"/>
        </w:rPr>
        <w:t>At the end of each week, the PLCB will generate a Purchase Order (“PO”) based on the sum of all withdrawals made against the vendor’s bailed product inventory from each</w:t>
      </w:r>
      <w:r>
        <w:rPr>
          <w:spacing w:val="-27"/>
          <w:sz w:val="24"/>
        </w:rPr>
        <w:t> </w:t>
      </w:r>
      <w:r>
        <w:rPr>
          <w:sz w:val="24"/>
        </w:rPr>
        <w:t>DC. The PO will be posted on the Vendor Collaboration Portal or sent to the Vendor via an industry</w:t>
      </w:r>
      <w:r>
        <w:rPr>
          <w:spacing w:val="-10"/>
          <w:sz w:val="24"/>
        </w:rPr>
        <w:t> </w:t>
      </w:r>
      <w:r>
        <w:rPr>
          <w:sz w:val="24"/>
        </w:rPr>
        <w:t>standard</w:t>
      </w:r>
      <w:r>
        <w:rPr>
          <w:spacing w:val="-9"/>
          <w:sz w:val="24"/>
        </w:rPr>
        <w:t> </w:t>
      </w:r>
      <w:r>
        <w:rPr>
          <w:sz w:val="24"/>
        </w:rPr>
        <w:t>EDI</w:t>
      </w:r>
      <w:r>
        <w:rPr>
          <w:spacing w:val="-12"/>
          <w:sz w:val="24"/>
        </w:rPr>
        <w:t> </w:t>
      </w:r>
      <w:r>
        <w:rPr>
          <w:sz w:val="24"/>
        </w:rPr>
        <w:t>transaction,</w:t>
      </w:r>
      <w:r>
        <w:rPr>
          <w:spacing w:val="-9"/>
          <w:sz w:val="24"/>
        </w:rPr>
        <w:t> </w:t>
      </w:r>
      <w:r>
        <w:rPr>
          <w:sz w:val="24"/>
        </w:rPr>
        <w:t>depending</w:t>
      </w:r>
      <w:r>
        <w:rPr>
          <w:spacing w:val="-9"/>
          <w:sz w:val="24"/>
        </w:rPr>
        <w:t> </w:t>
      </w:r>
      <w:r>
        <w:rPr>
          <w:sz w:val="24"/>
        </w:rPr>
        <w:t>on</w:t>
      </w:r>
      <w:r>
        <w:rPr>
          <w:spacing w:val="-9"/>
          <w:sz w:val="24"/>
        </w:rPr>
        <w:t> </w:t>
      </w:r>
      <w:r>
        <w:rPr>
          <w:sz w:val="24"/>
        </w:rPr>
        <w:t>the</w:t>
      </w:r>
      <w:r>
        <w:rPr>
          <w:spacing w:val="-10"/>
          <w:sz w:val="24"/>
        </w:rPr>
        <w:t> </w:t>
      </w:r>
      <w:r>
        <w:rPr>
          <w:sz w:val="24"/>
        </w:rPr>
        <w:t>vendor’s</w:t>
      </w:r>
      <w:r>
        <w:rPr>
          <w:spacing w:val="-8"/>
          <w:sz w:val="24"/>
        </w:rPr>
        <w:t> </w:t>
      </w:r>
      <w:r>
        <w:rPr>
          <w:sz w:val="24"/>
        </w:rPr>
        <w:t>preference.</w:t>
      </w:r>
      <w:r>
        <w:rPr>
          <w:spacing w:val="42"/>
          <w:sz w:val="24"/>
        </w:rPr>
        <w:t> </w:t>
      </w:r>
      <w:r>
        <w:rPr>
          <w:sz w:val="24"/>
        </w:rPr>
        <w:t>The</w:t>
      </w:r>
      <w:r>
        <w:rPr>
          <w:spacing w:val="-10"/>
          <w:sz w:val="24"/>
        </w:rPr>
        <w:t> </w:t>
      </w:r>
      <w:r>
        <w:rPr>
          <w:sz w:val="24"/>
        </w:rPr>
        <w:t>Vendor</w:t>
      </w:r>
      <w:r>
        <w:rPr>
          <w:spacing w:val="-9"/>
          <w:sz w:val="24"/>
        </w:rPr>
        <w:t> </w:t>
      </w:r>
      <w:r>
        <w:rPr>
          <w:sz w:val="24"/>
        </w:rPr>
        <w:t>will submit to the PLCB an invoice for each PO. The PLCB will pay the invoice pursuant to the Standard Contract Terms and Conditions (Appendix</w:t>
      </w:r>
      <w:r>
        <w:rPr>
          <w:spacing w:val="-3"/>
          <w:sz w:val="24"/>
        </w:rPr>
        <w:t> </w:t>
      </w:r>
      <w:r>
        <w:rPr>
          <w:sz w:val="24"/>
        </w:rPr>
        <w:t>E).</w:t>
      </w:r>
    </w:p>
    <w:p>
      <w:pPr>
        <w:pStyle w:val="BodyText"/>
        <w:spacing w:before="5"/>
        <w:rPr>
          <w:sz w:val="26"/>
        </w:rPr>
      </w:pPr>
    </w:p>
    <w:p>
      <w:pPr>
        <w:pStyle w:val="ListParagraph"/>
        <w:numPr>
          <w:ilvl w:val="0"/>
          <w:numId w:val="2"/>
        </w:numPr>
        <w:tabs>
          <w:tab w:pos="1020" w:val="left" w:leader="none"/>
        </w:tabs>
        <w:spacing w:line="244" w:lineRule="auto" w:before="0" w:after="0"/>
        <w:ind w:left="1019" w:right="525" w:hanging="720"/>
        <w:jc w:val="both"/>
        <w:rPr>
          <w:sz w:val="24"/>
        </w:rPr>
      </w:pPr>
      <w:r>
        <w:rPr>
          <w:sz w:val="24"/>
        </w:rPr>
        <w:t>When the PLCB needs to provide product to a retail sales outlet or to a licensee, PLCB- owned inventory will be depleted first. Bailment inventory will then be used to complete shipments.</w:t>
      </w:r>
    </w:p>
    <w:p>
      <w:pPr>
        <w:spacing w:after="0" w:line="244" w:lineRule="auto"/>
        <w:jc w:val="both"/>
        <w:rPr>
          <w:sz w:val="24"/>
        </w:rPr>
        <w:sectPr>
          <w:pgSz w:w="12240" w:h="15840"/>
          <w:pgMar w:header="0" w:footer="1006" w:top="1380" w:bottom="1200" w:left="1140" w:right="900"/>
        </w:sectPr>
      </w:pPr>
    </w:p>
    <w:p>
      <w:pPr>
        <w:pStyle w:val="ListParagraph"/>
        <w:numPr>
          <w:ilvl w:val="0"/>
          <w:numId w:val="2"/>
        </w:numPr>
        <w:tabs>
          <w:tab w:pos="1020" w:val="left" w:leader="none"/>
        </w:tabs>
        <w:spacing w:line="247" w:lineRule="auto" w:before="69" w:after="0"/>
        <w:ind w:left="1020" w:right="523" w:hanging="720"/>
        <w:jc w:val="both"/>
        <w:rPr>
          <w:sz w:val="24"/>
        </w:rPr>
      </w:pPr>
      <w:r>
        <w:rPr>
          <w:sz w:val="24"/>
        </w:rPr>
        <w:t>Once the PLCB has purchased and acquired title to the product (see Appendix E Standard Terms and Conditions), title will remain with the PLCB until such time that it is sold to a consumer, including product that is ultimately delisted by the PLCB. The PLCB will not require</w:t>
      </w:r>
      <w:r>
        <w:rPr>
          <w:spacing w:val="-6"/>
          <w:sz w:val="24"/>
        </w:rPr>
        <w:t> </w:t>
      </w:r>
      <w:r>
        <w:rPr>
          <w:sz w:val="24"/>
        </w:rPr>
        <w:t>the</w:t>
      </w:r>
      <w:r>
        <w:rPr>
          <w:spacing w:val="-2"/>
          <w:sz w:val="24"/>
        </w:rPr>
        <w:t> </w:t>
      </w:r>
      <w:r>
        <w:rPr>
          <w:sz w:val="24"/>
        </w:rPr>
        <w:t>Vendor</w:t>
      </w:r>
      <w:r>
        <w:rPr>
          <w:spacing w:val="-5"/>
          <w:sz w:val="24"/>
        </w:rPr>
        <w:t> </w:t>
      </w:r>
      <w:r>
        <w:rPr>
          <w:sz w:val="24"/>
        </w:rPr>
        <w:t>to</w:t>
      </w:r>
      <w:r>
        <w:rPr>
          <w:spacing w:val="-1"/>
          <w:sz w:val="24"/>
        </w:rPr>
        <w:t> </w:t>
      </w:r>
      <w:r>
        <w:rPr>
          <w:sz w:val="24"/>
        </w:rPr>
        <w:t>reacquire</w:t>
      </w:r>
      <w:r>
        <w:rPr>
          <w:spacing w:val="-5"/>
          <w:sz w:val="24"/>
        </w:rPr>
        <w:t> </w:t>
      </w:r>
      <w:r>
        <w:rPr>
          <w:sz w:val="24"/>
        </w:rPr>
        <w:t>delisted</w:t>
      </w:r>
      <w:r>
        <w:rPr>
          <w:spacing w:val="-4"/>
          <w:sz w:val="24"/>
        </w:rPr>
        <w:t> </w:t>
      </w:r>
      <w:r>
        <w:rPr>
          <w:sz w:val="24"/>
        </w:rPr>
        <w:t>or</w:t>
      </w:r>
      <w:r>
        <w:rPr>
          <w:spacing w:val="-2"/>
          <w:sz w:val="24"/>
        </w:rPr>
        <w:t> </w:t>
      </w:r>
      <w:r>
        <w:rPr>
          <w:sz w:val="24"/>
        </w:rPr>
        <w:t>any</w:t>
      </w:r>
      <w:r>
        <w:rPr>
          <w:spacing w:val="-4"/>
          <w:sz w:val="24"/>
        </w:rPr>
        <w:t> </w:t>
      </w:r>
      <w:r>
        <w:rPr>
          <w:sz w:val="24"/>
        </w:rPr>
        <w:t>other</w:t>
      </w:r>
      <w:r>
        <w:rPr>
          <w:spacing w:val="-5"/>
          <w:sz w:val="24"/>
        </w:rPr>
        <w:t> </w:t>
      </w:r>
      <w:r>
        <w:rPr>
          <w:sz w:val="24"/>
        </w:rPr>
        <w:t>product</w:t>
      </w:r>
      <w:r>
        <w:rPr>
          <w:spacing w:val="-2"/>
          <w:sz w:val="24"/>
        </w:rPr>
        <w:t> </w:t>
      </w:r>
      <w:r>
        <w:rPr>
          <w:sz w:val="24"/>
        </w:rPr>
        <w:t>from</w:t>
      </w:r>
      <w:r>
        <w:rPr>
          <w:spacing w:val="-3"/>
          <w:sz w:val="24"/>
        </w:rPr>
        <w:t> </w:t>
      </w:r>
      <w:r>
        <w:rPr>
          <w:sz w:val="24"/>
        </w:rPr>
        <w:t>the</w:t>
      </w:r>
      <w:r>
        <w:rPr>
          <w:spacing w:val="-5"/>
          <w:sz w:val="24"/>
        </w:rPr>
        <w:t> </w:t>
      </w:r>
      <w:r>
        <w:rPr>
          <w:sz w:val="24"/>
        </w:rPr>
        <w:t>PLCB,</w:t>
      </w:r>
      <w:r>
        <w:rPr>
          <w:spacing w:val="-4"/>
          <w:sz w:val="24"/>
        </w:rPr>
        <w:t> </w:t>
      </w:r>
      <w:r>
        <w:rPr>
          <w:sz w:val="24"/>
        </w:rPr>
        <w:t>although</w:t>
      </w:r>
      <w:r>
        <w:rPr>
          <w:spacing w:val="-4"/>
          <w:sz w:val="24"/>
        </w:rPr>
        <w:t> </w:t>
      </w:r>
      <w:r>
        <w:rPr>
          <w:sz w:val="24"/>
        </w:rPr>
        <w:t>the Vendor may reacquire title to the product if it so chooses. Delisted product that remains</w:t>
      </w:r>
      <w:r>
        <w:rPr>
          <w:spacing w:val="-36"/>
          <w:sz w:val="24"/>
        </w:rPr>
        <w:t> </w:t>
      </w:r>
      <w:r>
        <w:rPr>
          <w:sz w:val="24"/>
        </w:rPr>
        <w:t>in bailment inventory will be treated in the same manner as Unsalable Product.</w:t>
      </w:r>
      <w:r>
        <w:rPr>
          <w:spacing w:val="37"/>
          <w:sz w:val="24"/>
        </w:rPr>
        <w:t> </w:t>
      </w:r>
      <w:r>
        <w:rPr>
          <w:sz w:val="24"/>
        </w:rPr>
        <w:t>(See Paragraph</w:t>
      </w:r>
      <w:r>
        <w:rPr>
          <w:spacing w:val="-1"/>
          <w:sz w:val="24"/>
        </w:rPr>
        <w:t> </w:t>
      </w:r>
      <w:r>
        <w:rPr>
          <w:sz w:val="24"/>
        </w:rPr>
        <w:t>11).</w:t>
      </w:r>
    </w:p>
    <w:p>
      <w:pPr>
        <w:pStyle w:val="BodyText"/>
        <w:spacing w:before="2"/>
        <w:rPr>
          <w:sz w:val="31"/>
        </w:rPr>
      </w:pPr>
    </w:p>
    <w:p>
      <w:pPr>
        <w:pStyle w:val="ListParagraph"/>
        <w:numPr>
          <w:ilvl w:val="0"/>
          <w:numId w:val="2"/>
        </w:numPr>
        <w:tabs>
          <w:tab w:pos="1020" w:val="left" w:leader="none"/>
        </w:tabs>
        <w:spacing w:line="247" w:lineRule="auto" w:before="0" w:after="0"/>
        <w:ind w:left="1020" w:right="522" w:hanging="720"/>
        <w:jc w:val="both"/>
        <w:rPr>
          <w:sz w:val="24"/>
        </w:rPr>
      </w:pPr>
      <w:r>
        <w:rPr>
          <w:sz w:val="24"/>
        </w:rPr>
        <w:t>Except</w:t>
      </w:r>
      <w:r>
        <w:rPr>
          <w:spacing w:val="-6"/>
          <w:sz w:val="24"/>
        </w:rPr>
        <w:t> </w:t>
      </w:r>
      <w:r>
        <w:rPr>
          <w:sz w:val="24"/>
        </w:rPr>
        <w:t>for</w:t>
      </w:r>
      <w:r>
        <w:rPr>
          <w:spacing w:val="-7"/>
          <w:sz w:val="24"/>
        </w:rPr>
        <w:t> </w:t>
      </w:r>
      <w:r>
        <w:rPr>
          <w:sz w:val="24"/>
        </w:rPr>
        <w:t>damage</w:t>
      </w:r>
      <w:r>
        <w:rPr>
          <w:spacing w:val="-5"/>
          <w:sz w:val="24"/>
        </w:rPr>
        <w:t> </w:t>
      </w:r>
      <w:r>
        <w:rPr>
          <w:sz w:val="24"/>
        </w:rPr>
        <w:t>caused</w:t>
      </w:r>
      <w:r>
        <w:rPr>
          <w:spacing w:val="-5"/>
          <w:sz w:val="24"/>
        </w:rPr>
        <w:t> </w:t>
      </w:r>
      <w:r>
        <w:rPr>
          <w:sz w:val="24"/>
        </w:rPr>
        <w:t>by</w:t>
      </w:r>
      <w:r>
        <w:rPr>
          <w:spacing w:val="-6"/>
          <w:sz w:val="24"/>
        </w:rPr>
        <w:t> </w:t>
      </w:r>
      <w:r>
        <w:rPr>
          <w:sz w:val="24"/>
        </w:rPr>
        <w:t>the</w:t>
      </w:r>
      <w:r>
        <w:rPr>
          <w:spacing w:val="-5"/>
          <w:sz w:val="24"/>
        </w:rPr>
        <w:t> </w:t>
      </w:r>
      <w:r>
        <w:rPr>
          <w:sz w:val="24"/>
        </w:rPr>
        <w:t>PLCB’s</w:t>
      </w:r>
      <w:r>
        <w:rPr>
          <w:spacing w:val="-6"/>
          <w:sz w:val="24"/>
        </w:rPr>
        <w:t> </w:t>
      </w:r>
      <w:r>
        <w:rPr>
          <w:sz w:val="24"/>
        </w:rPr>
        <w:t>DC</w:t>
      </w:r>
      <w:r>
        <w:rPr>
          <w:spacing w:val="-6"/>
          <w:sz w:val="24"/>
        </w:rPr>
        <w:t> </w:t>
      </w:r>
      <w:r>
        <w:rPr>
          <w:sz w:val="24"/>
        </w:rPr>
        <w:t>operators</w:t>
      </w:r>
      <w:r>
        <w:rPr>
          <w:spacing w:val="-3"/>
          <w:sz w:val="24"/>
        </w:rPr>
        <w:t> </w:t>
      </w:r>
      <w:r>
        <w:rPr>
          <w:sz w:val="24"/>
        </w:rPr>
        <w:t>and</w:t>
      </w:r>
      <w:r>
        <w:rPr>
          <w:spacing w:val="-6"/>
          <w:sz w:val="24"/>
        </w:rPr>
        <w:t> </w:t>
      </w:r>
      <w:r>
        <w:rPr>
          <w:sz w:val="24"/>
        </w:rPr>
        <w:t>their</w:t>
      </w:r>
      <w:r>
        <w:rPr>
          <w:spacing w:val="-5"/>
          <w:sz w:val="24"/>
        </w:rPr>
        <w:t> </w:t>
      </w:r>
      <w:r>
        <w:rPr>
          <w:sz w:val="24"/>
        </w:rPr>
        <w:t>employees</w:t>
      </w:r>
      <w:r>
        <w:rPr>
          <w:spacing w:val="-6"/>
          <w:sz w:val="24"/>
        </w:rPr>
        <w:t> </w:t>
      </w:r>
      <w:r>
        <w:rPr>
          <w:sz w:val="24"/>
        </w:rPr>
        <w:t>that</w:t>
      </w:r>
      <w:r>
        <w:rPr>
          <w:spacing w:val="-5"/>
          <w:sz w:val="24"/>
        </w:rPr>
        <w:t> </w:t>
      </w:r>
      <w:r>
        <w:rPr>
          <w:sz w:val="24"/>
        </w:rPr>
        <w:t>occurs</w:t>
      </w:r>
      <w:r>
        <w:rPr>
          <w:spacing w:val="-6"/>
          <w:sz w:val="24"/>
        </w:rPr>
        <w:t> </w:t>
      </w:r>
      <w:r>
        <w:rPr>
          <w:sz w:val="24"/>
        </w:rPr>
        <w:t>in the ordinary course of business while the product is stored in a PLCB DC, Vendor agrees to assume all storage risks and to acquire any necessary insurance on its product held at each of the PLCB DCs. Vendor further agrees to hold harmless the PLCB, its officers and employees, as well as the Commonwealth of Pennsylvania, for all damage or loss to the Vendor’s</w:t>
      </w:r>
      <w:r>
        <w:rPr>
          <w:spacing w:val="-13"/>
          <w:sz w:val="24"/>
        </w:rPr>
        <w:t> </w:t>
      </w:r>
      <w:r>
        <w:rPr>
          <w:sz w:val="24"/>
        </w:rPr>
        <w:t>inventory</w:t>
      </w:r>
      <w:r>
        <w:rPr>
          <w:spacing w:val="-13"/>
          <w:sz w:val="24"/>
        </w:rPr>
        <w:t> </w:t>
      </w:r>
      <w:r>
        <w:rPr>
          <w:sz w:val="24"/>
        </w:rPr>
        <w:t>stored</w:t>
      </w:r>
      <w:r>
        <w:rPr>
          <w:spacing w:val="-13"/>
          <w:sz w:val="24"/>
        </w:rPr>
        <w:t> </w:t>
      </w:r>
      <w:r>
        <w:rPr>
          <w:sz w:val="24"/>
        </w:rPr>
        <w:t>at</w:t>
      </w:r>
      <w:r>
        <w:rPr>
          <w:spacing w:val="-13"/>
          <w:sz w:val="24"/>
        </w:rPr>
        <w:t> </w:t>
      </w:r>
      <w:r>
        <w:rPr>
          <w:sz w:val="24"/>
        </w:rPr>
        <w:t>the</w:t>
      </w:r>
      <w:r>
        <w:rPr>
          <w:spacing w:val="-14"/>
          <w:sz w:val="24"/>
        </w:rPr>
        <w:t> </w:t>
      </w:r>
      <w:r>
        <w:rPr>
          <w:sz w:val="24"/>
        </w:rPr>
        <w:t>PLCB</w:t>
      </w:r>
      <w:r>
        <w:rPr>
          <w:spacing w:val="-13"/>
          <w:sz w:val="24"/>
        </w:rPr>
        <w:t> </w:t>
      </w:r>
      <w:r>
        <w:rPr>
          <w:sz w:val="24"/>
        </w:rPr>
        <w:t>DCs,</w:t>
      </w:r>
      <w:r>
        <w:rPr>
          <w:spacing w:val="-13"/>
          <w:sz w:val="24"/>
        </w:rPr>
        <w:t> </w:t>
      </w:r>
      <w:r>
        <w:rPr>
          <w:sz w:val="24"/>
        </w:rPr>
        <w:t>and</w:t>
      </w:r>
      <w:r>
        <w:rPr>
          <w:spacing w:val="-13"/>
          <w:sz w:val="24"/>
        </w:rPr>
        <w:t> </w:t>
      </w:r>
      <w:r>
        <w:rPr>
          <w:sz w:val="24"/>
        </w:rPr>
        <w:t>hereby</w:t>
      </w:r>
      <w:r>
        <w:rPr>
          <w:spacing w:val="-12"/>
          <w:sz w:val="24"/>
        </w:rPr>
        <w:t> </w:t>
      </w:r>
      <w:r>
        <w:rPr>
          <w:sz w:val="24"/>
        </w:rPr>
        <w:t>does</w:t>
      </w:r>
      <w:r>
        <w:rPr>
          <w:spacing w:val="-13"/>
          <w:sz w:val="24"/>
        </w:rPr>
        <w:t> </w:t>
      </w:r>
      <w:r>
        <w:rPr>
          <w:sz w:val="24"/>
        </w:rPr>
        <w:t>release</w:t>
      </w:r>
      <w:r>
        <w:rPr>
          <w:spacing w:val="-12"/>
          <w:sz w:val="24"/>
        </w:rPr>
        <w:t> </w:t>
      </w:r>
      <w:r>
        <w:rPr>
          <w:sz w:val="24"/>
        </w:rPr>
        <w:t>the</w:t>
      </w:r>
      <w:r>
        <w:rPr>
          <w:spacing w:val="-14"/>
          <w:sz w:val="24"/>
        </w:rPr>
        <w:t> </w:t>
      </w:r>
      <w:r>
        <w:rPr>
          <w:sz w:val="24"/>
        </w:rPr>
        <w:t>PLCB,</w:t>
      </w:r>
      <w:r>
        <w:rPr>
          <w:spacing w:val="-13"/>
          <w:sz w:val="24"/>
        </w:rPr>
        <w:t> </w:t>
      </w:r>
      <w:r>
        <w:rPr>
          <w:sz w:val="24"/>
        </w:rPr>
        <w:t>its</w:t>
      </w:r>
      <w:r>
        <w:rPr>
          <w:spacing w:val="-13"/>
          <w:sz w:val="24"/>
        </w:rPr>
        <w:t> </w:t>
      </w:r>
      <w:r>
        <w:rPr>
          <w:sz w:val="24"/>
        </w:rPr>
        <w:t>officers and</w:t>
      </w:r>
      <w:r>
        <w:rPr>
          <w:spacing w:val="-9"/>
          <w:sz w:val="24"/>
        </w:rPr>
        <w:t> </w:t>
      </w:r>
      <w:r>
        <w:rPr>
          <w:sz w:val="24"/>
        </w:rPr>
        <w:t>employees,</w:t>
      </w:r>
      <w:r>
        <w:rPr>
          <w:spacing w:val="-9"/>
          <w:sz w:val="24"/>
        </w:rPr>
        <w:t> </w:t>
      </w:r>
      <w:r>
        <w:rPr>
          <w:sz w:val="24"/>
        </w:rPr>
        <w:t>and</w:t>
      </w:r>
      <w:r>
        <w:rPr>
          <w:spacing w:val="-5"/>
          <w:sz w:val="24"/>
        </w:rPr>
        <w:t> </w:t>
      </w:r>
      <w:r>
        <w:rPr>
          <w:sz w:val="24"/>
        </w:rPr>
        <w:t>the</w:t>
      </w:r>
      <w:r>
        <w:rPr>
          <w:spacing w:val="-10"/>
          <w:sz w:val="24"/>
        </w:rPr>
        <w:t> </w:t>
      </w:r>
      <w:r>
        <w:rPr>
          <w:sz w:val="24"/>
        </w:rPr>
        <w:t>Commonwealth</w:t>
      </w:r>
      <w:r>
        <w:rPr>
          <w:spacing w:val="-8"/>
          <w:sz w:val="24"/>
        </w:rPr>
        <w:t> </w:t>
      </w:r>
      <w:r>
        <w:rPr>
          <w:sz w:val="24"/>
        </w:rPr>
        <w:t>of</w:t>
      </w:r>
      <w:r>
        <w:rPr>
          <w:spacing w:val="-9"/>
          <w:sz w:val="24"/>
        </w:rPr>
        <w:t> </w:t>
      </w:r>
      <w:r>
        <w:rPr>
          <w:sz w:val="24"/>
        </w:rPr>
        <w:t>Pennsylvania</w:t>
      </w:r>
      <w:r>
        <w:rPr>
          <w:spacing w:val="-9"/>
          <w:sz w:val="24"/>
        </w:rPr>
        <w:t> </w:t>
      </w:r>
      <w:r>
        <w:rPr>
          <w:sz w:val="24"/>
        </w:rPr>
        <w:t>from</w:t>
      </w:r>
      <w:r>
        <w:rPr>
          <w:spacing w:val="-8"/>
          <w:sz w:val="24"/>
        </w:rPr>
        <w:t> </w:t>
      </w:r>
      <w:r>
        <w:rPr>
          <w:sz w:val="24"/>
        </w:rPr>
        <w:t>liability</w:t>
      </w:r>
      <w:r>
        <w:rPr>
          <w:spacing w:val="-8"/>
          <w:sz w:val="24"/>
        </w:rPr>
        <w:t> </w:t>
      </w:r>
      <w:r>
        <w:rPr>
          <w:sz w:val="24"/>
        </w:rPr>
        <w:t>for</w:t>
      </w:r>
      <w:r>
        <w:rPr>
          <w:spacing w:val="-7"/>
          <w:sz w:val="24"/>
        </w:rPr>
        <w:t> </w:t>
      </w:r>
      <w:r>
        <w:rPr>
          <w:sz w:val="24"/>
        </w:rPr>
        <w:t>any</w:t>
      </w:r>
      <w:r>
        <w:rPr>
          <w:spacing w:val="-8"/>
          <w:sz w:val="24"/>
        </w:rPr>
        <w:t> </w:t>
      </w:r>
      <w:r>
        <w:rPr>
          <w:sz w:val="24"/>
        </w:rPr>
        <w:t>and</w:t>
      </w:r>
      <w:r>
        <w:rPr>
          <w:spacing w:val="-6"/>
          <w:sz w:val="24"/>
        </w:rPr>
        <w:t> </w:t>
      </w:r>
      <w:r>
        <w:rPr>
          <w:sz w:val="24"/>
        </w:rPr>
        <w:t>all</w:t>
      </w:r>
      <w:r>
        <w:rPr>
          <w:spacing w:val="-7"/>
          <w:sz w:val="24"/>
        </w:rPr>
        <w:t> </w:t>
      </w:r>
      <w:r>
        <w:rPr>
          <w:sz w:val="24"/>
        </w:rPr>
        <w:t>such inventory losses, except as otherwise provided</w:t>
      </w:r>
      <w:r>
        <w:rPr>
          <w:spacing w:val="-1"/>
          <w:sz w:val="24"/>
        </w:rPr>
        <w:t> </w:t>
      </w:r>
      <w:r>
        <w:rPr>
          <w:sz w:val="24"/>
        </w:rPr>
        <w:t>herein.</w:t>
      </w:r>
    </w:p>
    <w:p>
      <w:pPr>
        <w:pStyle w:val="BodyText"/>
        <w:spacing w:before="7"/>
        <w:rPr>
          <w:sz w:val="26"/>
        </w:rPr>
      </w:pPr>
    </w:p>
    <w:p>
      <w:pPr>
        <w:pStyle w:val="ListParagraph"/>
        <w:numPr>
          <w:ilvl w:val="0"/>
          <w:numId w:val="2"/>
        </w:numPr>
        <w:tabs>
          <w:tab w:pos="1020" w:val="left" w:leader="none"/>
        </w:tabs>
        <w:spacing w:line="240" w:lineRule="auto" w:before="1" w:after="0"/>
        <w:ind w:left="1020" w:right="525" w:hanging="720"/>
        <w:jc w:val="both"/>
        <w:rPr>
          <w:sz w:val="24"/>
        </w:rPr>
      </w:pPr>
      <w:r>
        <w:rPr>
          <w:sz w:val="24"/>
        </w:rPr>
        <w:t>The</w:t>
      </w:r>
      <w:r>
        <w:rPr>
          <w:spacing w:val="-11"/>
          <w:sz w:val="24"/>
        </w:rPr>
        <w:t> </w:t>
      </w:r>
      <w:r>
        <w:rPr>
          <w:sz w:val="24"/>
        </w:rPr>
        <w:t>PLCB</w:t>
      </w:r>
      <w:r>
        <w:rPr>
          <w:spacing w:val="-8"/>
          <w:sz w:val="24"/>
        </w:rPr>
        <w:t> </w:t>
      </w:r>
      <w:r>
        <w:rPr>
          <w:sz w:val="24"/>
        </w:rPr>
        <w:t>shall</w:t>
      </w:r>
      <w:r>
        <w:rPr>
          <w:spacing w:val="-9"/>
          <w:sz w:val="24"/>
        </w:rPr>
        <w:t> </w:t>
      </w:r>
      <w:r>
        <w:rPr>
          <w:sz w:val="24"/>
        </w:rPr>
        <w:t>require</w:t>
      </w:r>
      <w:r>
        <w:rPr>
          <w:spacing w:val="-10"/>
          <w:sz w:val="24"/>
        </w:rPr>
        <w:t> </w:t>
      </w:r>
      <w:r>
        <w:rPr>
          <w:sz w:val="24"/>
        </w:rPr>
        <w:t>its</w:t>
      </w:r>
      <w:r>
        <w:rPr>
          <w:spacing w:val="-9"/>
          <w:sz w:val="24"/>
        </w:rPr>
        <w:t> </w:t>
      </w:r>
      <w:r>
        <w:rPr>
          <w:sz w:val="24"/>
        </w:rPr>
        <w:t>DC</w:t>
      </w:r>
      <w:r>
        <w:rPr>
          <w:spacing w:val="-8"/>
          <w:sz w:val="24"/>
        </w:rPr>
        <w:t> </w:t>
      </w:r>
      <w:r>
        <w:rPr>
          <w:sz w:val="24"/>
        </w:rPr>
        <w:t>operators</w:t>
      </w:r>
      <w:r>
        <w:rPr>
          <w:spacing w:val="-9"/>
          <w:sz w:val="24"/>
        </w:rPr>
        <w:t> </w:t>
      </w:r>
      <w:r>
        <w:rPr>
          <w:sz w:val="24"/>
        </w:rPr>
        <w:t>to</w:t>
      </w:r>
      <w:r>
        <w:rPr>
          <w:spacing w:val="-9"/>
          <w:sz w:val="24"/>
        </w:rPr>
        <w:t> </w:t>
      </w:r>
      <w:r>
        <w:rPr>
          <w:sz w:val="24"/>
        </w:rPr>
        <w:t>insure</w:t>
      </w:r>
      <w:r>
        <w:rPr>
          <w:spacing w:val="-11"/>
          <w:sz w:val="24"/>
        </w:rPr>
        <w:t> </w:t>
      </w:r>
      <w:r>
        <w:rPr>
          <w:sz w:val="24"/>
        </w:rPr>
        <w:t>product</w:t>
      </w:r>
      <w:r>
        <w:rPr>
          <w:spacing w:val="-8"/>
          <w:sz w:val="24"/>
        </w:rPr>
        <w:t> </w:t>
      </w:r>
      <w:r>
        <w:rPr>
          <w:sz w:val="24"/>
        </w:rPr>
        <w:t>stored</w:t>
      </w:r>
      <w:r>
        <w:rPr>
          <w:spacing w:val="-9"/>
          <w:sz w:val="24"/>
        </w:rPr>
        <w:t> </w:t>
      </w:r>
      <w:r>
        <w:rPr>
          <w:sz w:val="24"/>
        </w:rPr>
        <w:t>at</w:t>
      </w:r>
      <w:r>
        <w:rPr>
          <w:spacing w:val="-9"/>
          <w:sz w:val="24"/>
        </w:rPr>
        <w:t> </w:t>
      </w:r>
      <w:r>
        <w:rPr>
          <w:sz w:val="24"/>
        </w:rPr>
        <w:t>the</w:t>
      </w:r>
      <w:r>
        <w:rPr>
          <w:spacing w:val="-10"/>
          <w:sz w:val="24"/>
        </w:rPr>
        <w:t> </w:t>
      </w:r>
      <w:r>
        <w:rPr>
          <w:sz w:val="24"/>
        </w:rPr>
        <w:t>Distribution</w:t>
      </w:r>
      <w:r>
        <w:rPr>
          <w:spacing w:val="-10"/>
          <w:sz w:val="24"/>
        </w:rPr>
        <w:t> </w:t>
      </w:r>
      <w:r>
        <w:rPr>
          <w:sz w:val="24"/>
        </w:rPr>
        <w:t>Center and to name the Vendor as an additional insured on such insurance</w:t>
      </w:r>
      <w:r>
        <w:rPr>
          <w:spacing w:val="-5"/>
          <w:sz w:val="24"/>
        </w:rPr>
        <w:t> </w:t>
      </w:r>
      <w:r>
        <w:rPr>
          <w:sz w:val="24"/>
        </w:rPr>
        <w:t>policy.</w:t>
      </w:r>
    </w:p>
    <w:p>
      <w:pPr>
        <w:pStyle w:val="BodyText"/>
        <w:spacing w:before="10"/>
        <w:rPr>
          <w:sz w:val="27"/>
        </w:rPr>
      </w:pPr>
    </w:p>
    <w:p>
      <w:pPr>
        <w:pStyle w:val="ListParagraph"/>
        <w:numPr>
          <w:ilvl w:val="0"/>
          <w:numId w:val="2"/>
        </w:numPr>
        <w:tabs>
          <w:tab w:pos="1020" w:val="left" w:leader="none"/>
        </w:tabs>
        <w:spacing w:line="244" w:lineRule="auto" w:before="0" w:after="0"/>
        <w:ind w:left="1019" w:right="525" w:hanging="720"/>
        <w:jc w:val="both"/>
        <w:rPr>
          <w:sz w:val="24"/>
        </w:rPr>
      </w:pPr>
      <w:r>
        <w:rPr>
          <w:sz w:val="24"/>
        </w:rPr>
        <w:t>In the event that the PLCB’s DC operators and/or their employees damage Vendor-owned product in the ordinary course of business while the product is stored in a PLCB DC, the PLCB</w:t>
      </w:r>
      <w:r>
        <w:rPr>
          <w:spacing w:val="-11"/>
          <w:sz w:val="24"/>
        </w:rPr>
        <w:t> </w:t>
      </w:r>
      <w:r>
        <w:rPr>
          <w:sz w:val="24"/>
        </w:rPr>
        <w:t>will</w:t>
      </w:r>
      <w:r>
        <w:rPr>
          <w:spacing w:val="-12"/>
          <w:sz w:val="24"/>
        </w:rPr>
        <w:t> </w:t>
      </w:r>
      <w:r>
        <w:rPr>
          <w:sz w:val="24"/>
        </w:rPr>
        <w:t>take</w:t>
      </w:r>
      <w:r>
        <w:rPr>
          <w:spacing w:val="-12"/>
          <w:sz w:val="24"/>
        </w:rPr>
        <w:t> </w:t>
      </w:r>
      <w:r>
        <w:rPr>
          <w:sz w:val="24"/>
        </w:rPr>
        <w:t>ownership</w:t>
      </w:r>
      <w:r>
        <w:rPr>
          <w:spacing w:val="-12"/>
          <w:sz w:val="24"/>
        </w:rPr>
        <w:t> </w:t>
      </w:r>
      <w:r>
        <w:rPr>
          <w:sz w:val="24"/>
        </w:rPr>
        <w:t>of</w:t>
      </w:r>
      <w:r>
        <w:rPr>
          <w:spacing w:val="-13"/>
          <w:sz w:val="24"/>
        </w:rPr>
        <w:t> </w:t>
      </w:r>
      <w:r>
        <w:rPr>
          <w:sz w:val="24"/>
        </w:rPr>
        <w:t>the</w:t>
      </w:r>
      <w:r>
        <w:rPr>
          <w:spacing w:val="-12"/>
          <w:sz w:val="24"/>
        </w:rPr>
        <w:t> </w:t>
      </w:r>
      <w:r>
        <w:rPr>
          <w:sz w:val="24"/>
        </w:rPr>
        <w:t>damaged</w:t>
      </w:r>
      <w:r>
        <w:rPr>
          <w:spacing w:val="-12"/>
          <w:sz w:val="24"/>
        </w:rPr>
        <w:t> </w:t>
      </w:r>
      <w:r>
        <w:rPr>
          <w:sz w:val="24"/>
        </w:rPr>
        <w:t>product</w:t>
      </w:r>
      <w:r>
        <w:rPr>
          <w:spacing w:val="-8"/>
          <w:sz w:val="24"/>
        </w:rPr>
        <w:t> </w:t>
      </w:r>
      <w:r>
        <w:rPr>
          <w:sz w:val="24"/>
        </w:rPr>
        <w:t>and</w:t>
      </w:r>
      <w:r>
        <w:rPr>
          <w:spacing w:val="-12"/>
          <w:sz w:val="24"/>
        </w:rPr>
        <w:t> </w:t>
      </w:r>
      <w:r>
        <w:rPr>
          <w:sz w:val="24"/>
        </w:rPr>
        <w:t>the</w:t>
      </w:r>
      <w:r>
        <w:rPr>
          <w:spacing w:val="-13"/>
          <w:sz w:val="24"/>
        </w:rPr>
        <w:t> </w:t>
      </w:r>
      <w:r>
        <w:rPr>
          <w:sz w:val="24"/>
        </w:rPr>
        <w:t>PLCB</w:t>
      </w:r>
      <w:r>
        <w:rPr>
          <w:spacing w:val="-10"/>
          <w:sz w:val="24"/>
        </w:rPr>
        <w:t> </w:t>
      </w:r>
      <w:r>
        <w:rPr>
          <w:sz w:val="24"/>
        </w:rPr>
        <w:t>will</w:t>
      </w:r>
      <w:r>
        <w:rPr>
          <w:spacing w:val="-12"/>
          <w:sz w:val="24"/>
        </w:rPr>
        <w:t> </w:t>
      </w:r>
      <w:r>
        <w:rPr>
          <w:sz w:val="24"/>
        </w:rPr>
        <w:t>add</w:t>
      </w:r>
      <w:r>
        <w:rPr>
          <w:spacing w:val="-11"/>
          <w:sz w:val="24"/>
        </w:rPr>
        <w:t> </w:t>
      </w:r>
      <w:r>
        <w:rPr>
          <w:sz w:val="24"/>
        </w:rPr>
        <w:t>the</w:t>
      </w:r>
      <w:r>
        <w:rPr>
          <w:spacing w:val="-13"/>
          <w:sz w:val="24"/>
        </w:rPr>
        <w:t> </w:t>
      </w:r>
      <w:r>
        <w:rPr>
          <w:sz w:val="24"/>
        </w:rPr>
        <w:t>amount</w:t>
      </w:r>
      <w:r>
        <w:rPr>
          <w:spacing w:val="-12"/>
          <w:sz w:val="24"/>
        </w:rPr>
        <w:t> </w:t>
      </w:r>
      <w:r>
        <w:rPr>
          <w:sz w:val="24"/>
        </w:rPr>
        <w:t>(cost and quantity) of the damaged product onto the PLCB’s weekly Purchase Order for consumed products. (See Paragraph 14).</w:t>
      </w:r>
    </w:p>
    <w:p>
      <w:pPr>
        <w:pStyle w:val="BodyText"/>
        <w:spacing w:before="7"/>
        <w:rPr>
          <w:sz w:val="27"/>
        </w:rPr>
      </w:pPr>
    </w:p>
    <w:p>
      <w:pPr>
        <w:pStyle w:val="ListParagraph"/>
        <w:numPr>
          <w:ilvl w:val="0"/>
          <w:numId w:val="2"/>
        </w:numPr>
        <w:tabs>
          <w:tab w:pos="1020" w:val="left" w:leader="none"/>
        </w:tabs>
        <w:spacing w:line="240" w:lineRule="auto" w:before="0" w:after="0"/>
        <w:ind w:left="1020" w:right="526" w:hanging="720"/>
        <w:jc w:val="both"/>
        <w:rPr>
          <w:sz w:val="24"/>
        </w:rPr>
      </w:pPr>
      <w:r>
        <w:rPr>
          <w:sz w:val="24"/>
        </w:rPr>
        <w:t>The</w:t>
      </w:r>
      <w:r>
        <w:rPr>
          <w:spacing w:val="-13"/>
          <w:sz w:val="24"/>
        </w:rPr>
        <w:t> </w:t>
      </w:r>
      <w:r>
        <w:rPr>
          <w:sz w:val="24"/>
        </w:rPr>
        <w:t>operator</w:t>
      </w:r>
      <w:r>
        <w:rPr>
          <w:spacing w:val="-9"/>
          <w:sz w:val="24"/>
        </w:rPr>
        <w:t> </w:t>
      </w:r>
      <w:r>
        <w:rPr>
          <w:sz w:val="24"/>
        </w:rPr>
        <w:t>for</w:t>
      </w:r>
      <w:r>
        <w:rPr>
          <w:spacing w:val="-13"/>
          <w:sz w:val="24"/>
        </w:rPr>
        <w:t> </w:t>
      </w:r>
      <w:r>
        <w:rPr>
          <w:sz w:val="24"/>
        </w:rPr>
        <w:t>the</w:t>
      </w:r>
      <w:r>
        <w:rPr>
          <w:spacing w:val="-12"/>
          <w:sz w:val="24"/>
        </w:rPr>
        <w:t> </w:t>
      </w:r>
      <w:r>
        <w:rPr>
          <w:sz w:val="24"/>
        </w:rPr>
        <w:t>PLCB</w:t>
      </w:r>
      <w:r>
        <w:rPr>
          <w:spacing w:val="-11"/>
          <w:sz w:val="24"/>
        </w:rPr>
        <w:t> </w:t>
      </w:r>
      <w:r>
        <w:rPr>
          <w:sz w:val="24"/>
        </w:rPr>
        <w:t>DC</w:t>
      </w:r>
      <w:r>
        <w:rPr>
          <w:spacing w:val="-10"/>
          <w:sz w:val="24"/>
        </w:rPr>
        <w:t> </w:t>
      </w:r>
      <w:r>
        <w:rPr>
          <w:sz w:val="24"/>
        </w:rPr>
        <w:t>shall</w:t>
      </w:r>
      <w:r>
        <w:rPr>
          <w:spacing w:val="-12"/>
          <w:sz w:val="24"/>
        </w:rPr>
        <w:t> </w:t>
      </w:r>
      <w:r>
        <w:rPr>
          <w:sz w:val="24"/>
        </w:rPr>
        <w:t>maintain</w:t>
      </w:r>
      <w:r>
        <w:rPr>
          <w:spacing w:val="-11"/>
          <w:sz w:val="24"/>
        </w:rPr>
        <w:t> </w:t>
      </w:r>
      <w:r>
        <w:rPr>
          <w:sz w:val="24"/>
        </w:rPr>
        <w:t>a</w:t>
      </w:r>
      <w:r>
        <w:rPr>
          <w:spacing w:val="-13"/>
          <w:sz w:val="24"/>
        </w:rPr>
        <w:t> </w:t>
      </w:r>
      <w:r>
        <w:rPr>
          <w:sz w:val="24"/>
        </w:rPr>
        <w:t>perpetual</w:t>
      </w:r>
      <w:r>
        <w:rPr>
          <w:spacing w:val="-11"/>
          <w:sz w:val="24"/>
        </w:rPr>
        <w:t> </w:t>
      </w:r>
      <w:r>
        <w:rPr>
          <w:sz w:val="24"/>
        </w:rPr>
        <w:t>record,</w:t>
      </w:r>
      <w:r>
        <w:rPr>
          <w:spacing w:val="-12"/>
          <w:sz w:val="24"/>
        </w:rPr>
        <w:t> </w:t>
      </w:r>
      <w:r>
        <w:rPr>
          <w:sz w:val="24"/>
        </w:rPr>
        <w:t>by</w:t>
      </w:r>
      <w:r>
        <w:rPr>
          <w:spacing w:val="-11"/>
          <w:sz w:val="24"/>
        </w:rPr>
        <w:t> </w:t>
      </w:r>
      <w:r>
        <w:rPr>
          <w:sz w:val="24"/>
        </w:rPr>
        <w:t>item,</w:t>
      </w:r>
      <w:r>
        <w:rPr>
          <w:spacing w:val="-12"/>
          <w:sz w:val="24"/>
        </w:rPr>
        <w:t> </w:t>
      </w:r>
      <w:r>
        <w:rPr>
          <w:sz w:val="24"/>
        </w:rPr>
        <w:t>of</w:t>
      </w:r>
      <w:r>
        <w:rPr>
          <w:spacing w:val="-12"/>
          <w:sz w:val="24"/>
        </w:rPr>
        <w:t> </w:t>
      </w:r>
      <w:r>
        <w:rPr>
          <w:sz w:val="24"/>
        </w:rPr>
        <w:t>inventory</w:t>
      </w:r>
      <w:r>
        <w:rPr>
          <w:spacing w:val="-12"/>
          <w:sz w:val="24"/>
        </w:rPr>
        <w:t> </w:t>
      </w:r>
      <w:r>
        <w:rPr>
          <w:sz w:val="24"/>
        </w:rPr>
        <w:t>held for distribution. The PLCB will take cycle counts of inventory on a quarterly</w:t>
      </w:r>
      <w:r>
        <w:rPr>
          <w:spacing w:val="-13"/>
          <w:sz w:val="24"/>
        </w:rPr>
        <w:t> </w:t>
      </w:r>
      <w:r>
        <w:rPr>
          <w:sz w:val="24"/>
        </w:rPr>
        <w:t>basis.</w:t>
      </w:r>
    </w:p>
    <w:p>
      <w:pPr>
        <w:pStyle w:val="BodyText"/>
        <w:spacing w:before="10"/>
        <w:rPr>
          <w:sz w:val="27"/>
        </w:rPr>
      </w:pPr>
    </w:p>
    <w:p>
      <w:pPr>
        <w:pStyle w:val="ListParagraph"/>
        <w:numPr>
          <w:ilvl w:val="1"/>
          <w:numId w:val="2"/>
        </w:numPr>
        <w:tabs>
          <w:tab w:pos="1380" w:val="left" w:leader="none"/>
        </w:tabs>
        <w:spacing w:line="240" w:lineRule="auto" w:before="1" w:after="0"/>
        <w:ind w:left="1380" w:right="0" w:hanging="360"/>
        <w:jc w:val="left"/>
        <w:rPr>
          <w:sz w:val="24"/>
        </w:rPr>
      </w:pPr>
      <w:r>
        <w:rPr>
          <w:sz w:val="24"/>
        </w:rPr>
        <w:t>Discrepancies</w:t>
      </w:r>
      <w:r>
        <w:rPr>
          <w:spacing w:val="-13"/>
          <w:sz w:val="24"/>
        </w:rPr>
        <w:t> </w:t>
      </w:r>
      <w:r>
        <w:rPr>
          <w:sz w:val="24"/>
        </w:rPr>
        <w:t>discovered</w:t>
      </w:r>
      <w:r>
        <w:rPr>
          <w:spacing w:val="-11"/>
          <w:sz w:val="24"/>
        </w:rPr>
        <w:t> </w:t>
      </w:r>
      <w:r>
        <w:rPr>
          <w:sz w:val="24"/>
        </w:rPr>
        <w:t>after</w:t>
      </w:r>
      <w:r>
        <w:rPr>
          <w:spacing w:val="-12"/>
          <w:sz w:val="24"/>
        </w:rPr>
        <w:t> </w:t>
      </w:r>
      <w:r>
        <w:rPr>
          <w:sz w:val="24"/>
        </w:rPr>
        <w:t>a</w:t>
      </w:r>
      <w:r>
        <w:rPr>
          <w:spacing w:val="-14"/>
          <w:sz w:val="24"/>
        </w:rPr>
        <w:t> </w:t>
      </w:r>
      <w:r>
        <w:rPr>
          <w:sz w:val="24"/>
        </w:rPr>
        <w:t>cycle</w:t>
      </w:r>
      <w:r>
        <w:rPr>
          <w:spacing w:val="-12"/>
          <w:sz w:val="24"/>
        </w:rPr>
        <w:t> </w:t>
      </w:r>
      <w:r>
        <w:rPr>
          <w:sz w:val="24"/>
        </w:rPr>
        <w:t>count</w:t>
      </w:r>
      <w:r>
        <w:rPr>
          <w:spacing w:val="-13"/>
          <w:sz w:val="24"/>
        </w:rPr>
        <w:t> </w:t>
      </w:r>
      <w:r>
        <w:rPr>
          <w:sz w:val="24"/>
        </w:rPr>
        <w:t>has</w:t>
      </w:r>
      <w:r>
        <w:rPr>
          <w:spacing w:val="-13"/>
          <w:sz w:val="24"/>
        </w:rPr>
        <w:t> </w:t>
      </w:r>
      <w:r>
        <w:rPr>
          <w:sz w:val="24"/>
        </w:rPr>
        <w:t>been</w:t>
      </w:r>
      <w:r>
        <w:rPr>
          <w:spacing w:val="-12"/>
          <w:sz w:val="24"/>
        </w:rPr>
        <w:t> </w:t>
      </w:r>
      <w:r>
        <w:rPr>
          <w:sz w:val="24"/>
        </w:rPr>
        <w:t>taken</w:t>
      </w:r>
      <w:r>
        <w:rPr>
          <w:spacing w:val="-13"/>
          <w:sz w:val="24"/>
        </w:rPr>
        <w:t> </w:t>
      </w:r>
      <w:r>
        <w:rPr>
          <w:sz w:val="24"/>
        </w:rPr>
        <w:t>will</w:t>
      </w:r>
      <w:r>
        <w:rPr>
          <w:spacing w:val="-13"/>
          <w:sz w:val="24"/>
        </w:rPr>
        <w:t> </w:t>
      </w:r>
      <w:r>
        <w:rPr>
          <w:sz w:val="24"/>
        </w:rPr>
        <w:t>be</w:t>
      </w:r>
      <w:r>
        <w:rPr>
          <w:spacing w:val="-12"/>
          <w:sz w:val="24"/>
        </w:rPr>
        <w:t> </w:t>
      </w:r>
      <w:r>
        <w:rPr>
          <w:sz w:val="24"/>
        </w:rPr>
        <w:t>resolved</w:t>
      </w:r>
      <w:r>
        <w:rPr>
          <w:spacing w:val="-11"/>
          <w:sz w:val="24"/>
        </w:rPr>
        <w:t> </w:t>
      </w:r>
      <w:r>
        <w:rPr>
          <w:sz w:val="24"/>
        </w:rPr>
        <w:t>as</w:t>
      </w:r>
      <w:r>
        <w:rPr>
          <w:spacing w:val="-13"/>
          <w:sz w:val="24"/>
        </w:rPr>
        <w:t> </w:t>
      </w:r>
      <w:r>
        <w:rPr>
          <w:sz w:val="24"/>
        </w:rPr>
        <w:t>follows:</w:t>
      </w:r>
    </w:p>
    <w:p>
      <w:pPr>
        <w:pStyle w:val="BodyText"/>
        <w:spacing w:before="10"/>
        <w:rPr>
          <w:sz w:val="26"/>
        </w:rPr>
      </w:pPr>
    </w:p>
    <w:p>
      <w:pPr>
        <w:pStyle w:val="ListParagraph"/>
        <w:numPr>
          <w:ilvl w:val="2"/>
          <w:numId w:val="2"/>
        </w:numPr>
        <w:tabs>
          <w:tab w:pos="2100" w:val="left" w:leader="none"/>
        </w:tabs>
        <w:spacing w:line="244" w:lineRule="auto" w:before="0" w:after="0"/>
        <w:ind w:left="2100" w:right="524" w:hanging="360"/>
        <w:jc w:val="both"/>
        <w:rPr>
          <w:sz w:val="24"/>
        </w:rPr>
      </w:pPr>
      <w:r>
        <w:rPr>
          <w:sz w:val="24"/>
        </w:rPr>
        <w:t>In</w:t>
      </w:r>
      <w:r>
        <w:rPr>
          <w:spacing w:val="-13"/>
          <w:sz w:val="24"/>
        </w:rPr>
        <w:t> </w:t>
      </w:r>
      <w:r>
        <w:rPr>
          <w:sz w:val="24"/>
        </w:rPr>
        <w:t>the</w:t>
      </w:r>
      <w:r>
        <w:rPr>
          <w:spacing w:val="-14"/>
          <w:sz w:val="24"/>
        </w:rPr>
        <w:t> </w:t>
      </w:r>
      <w:r>
        <w:rPr>
          <w:sz w:val="24"/>
        </w:rPr>
        <w:t>event</w:t>
      </w:r>
      <w:r>
        <w:rPr>
          <w:spacing w:val="-15"/>
          <w:sz w:val="24"/>
        </w:rPr>
        <w:t> </w:t>
      </w:r>
      <w:r>
        <w:rPr>
          <w:sz w:val="24"/>
        </w:rPr>
        <w:t>of</w:t>
      </w:r>
      <w:r>
        <w:rPr>
          <w:spacing w:val="-14"/>
          <w:sz w:val="24"/>
        </w:rPr>
        <w:t> </w:t>
      </w:r>
      <w:r>
        <w:rPr>
          <w:sz w:val="24"/>
        </w:rPr>
        <w:t>a</w:t>
      </w:r>
      <w:r>
        <w:rPr>
          <w:spacing w:val="-16"/>
          <w:sz w:val="24"/>
        </w:rPr>
        <w:t> </w:t>
      </w:r>
      <w:r>
        <w:rPr>
          <w:sz w:val="24"/>
        </w:rPr>
        <w:t>physical</w:t>
      </w:r>
      <w:r>
        <w:rPr>
          <w:spacing w:val="-13"/>
          <w:sz w:val="24"/>
        </w:rPr>
        <w:t> </w:t>
      </w:r>
      <w:r>
        <w:rPr>
          <w:sz w:val="24"/>
        </w:rPr>
        <w:t>inventory</w:t>
      </w:r>
      <w:r>
        <w:rPr>
          <w:spacing w:val="-16"/>
          <w:sz w:val="24"/>
        </w:rPr>
        <w:t> </w:t>
      </w:r>
      <w:r>
        <w:rPr>
          <w:sz w:val="24"/>
        </w:rPr>
        <w:t>Shortage</w:t>
      </w:r>
      <w:r>
        <w:rPr>
          <w:spacing w:val="-13"/>
          <w:sz w:val="24"/>
        </w:rPr>
        <w:t> </w:t>
      </w:r>
      <w:r>
        <w:rPr>
          <w:sz w:val="24"/>
        </w:rPr>
        <w:t>of</w:t>
      </w:r>
      <w:r>
        <w:rPr>
          <w:spacing w:val="-17"/>
          <w:sz w:val="24"/>
        </w:rPr>
        <w:t> </w:t>
      </w:r>
      <w:r>
        <w:rPr>
          <w:sz w:val="24"/>
        </w:rPr>
        <w:t>the</w:t>
      </w:r>
      <w:r>
        <w:rPr>
          <w:spacing w:val="-14"/>
          <w:sz w:val="24"/>
        </w:rPr>
        <w:t> </w:t>
      </w:r>
      <w:r>
        <w:rPr>
          <w:sz w:val="24"/>
        </w:rPr>
        <w:t>Vendor’s</w:t>
      </w:r>
      <w:r>
        <w:rPr>
          <w:spacing w:val="-13"/>
          <w:sz w:val="24"/>
        </w:rPr>
        <w:t> </w:t>
      </w:r>
      <w:r>
        <w:rPr>
          <w:sz w:val="24"/>
        </w:rPr>
        <w:t>product,</w:t>
      </w:r>
      <w:r>
        <w:rPr>
          <w:spacing w:val="-12"/>
          <w:sz w:val="24"/>
        </w:rPr>
        <w:t> </w:t>
      </w:r>
      <w:r>
        <w:rPr>
          <w:sz w:val="24"/>
        </w:rPr>
        <w:t>the</w:t>
      </w:r>
      <w:r>
        <w:rPr>
          <w:spacing w:val="-17"/>
          <w:sz w:val="24"/>
        </w:rPr>
        <w:t> </w:t>
      </w:r>
      <w:r>
        <w:rPr>
          <w:sz w:val="24"/>
        </w:rPr>
        <w:t>PLCB will pay the Vendor for the missing product at the currently quoted PLCB cost on the date of the physical inventory or cycle</w:t>
      </w:r>
      <w:r>
        <w:rPr>
          <w:spacing w:val="-7"/>
          <w:sz w:val="24"/>
        </w:rPr>
        <w:t> </w:t>
      </w:r>
      <w:r>
        <w:rPr>
          <w:sz w:val="24"/>
        </w:rPr>
        <w:t>count.</w:t>
      </w:r>
    </w:p>
    <w:p>
      <w:pPr>
        <w:pStyle w:val="BodyText"/>
        <w:spacing w:before="10"/>
        <w:rPr>
          <w:sz w:val="28"/>
        </w:rPr>
      </w:pPr>
    </w:p>
    <w:p>
      <w:pPr>
        <w:pStyle w:val="ListParagraph"/>
        <w:numPr>
          <w:ilvl w:val="2"/>
          <w:numId w:val="2"/>
        </w:numPr>
        <w:tabs>
          <w:tab w:pos="2100" w:val="left" w:leader="none"/>
        </w:tabs>
        <w:spacing w:line="240" w:lineRule="auto" w:before="0" w:after="0"/>
        <w:ind w:left="2100" w:right="524" w:hanging="360"/>
        <w:jc w:val="both"/>
        <w:rPr>
          <w:sz w:val="24"/>
        </w:rPr>
      </w:pPr>
      <w:r>
        <w:rPr>
          <w:sz w:val="24"/>
        </w:rPr>
        <w:t>In</w:t>
      </w:r>
      <w:r>
        <w:rPr>
          <w:spacing w:val="-12"/>
          <w:sz w:val="24"/>
        </w:rPr>
        <w:t> </w:t>
      </w:r>
      <w:r>
        <w:rPr>
          <w:sz w:val="24"/>
        </w:rPr>
        <w:t>the</w:t>
      </w:r>
      <w:r>
        <w:rPr>
          <w:spacing w:val="-12"/>
          <w:sz w:val="24"/>
        </w:rPr>
        <w:t> </w:t>
      </w:r>
      <w:r>
        <w:rPr>
          <w:sz w:val="24"/>
        </w:rPr>
        <w:t>event</w:t>
      </w:r>
      <w:r>
        <w:rPr>
          <w:spacing w:val="-11"/>
          <w:sz w:val="24"/>
        </w:rPr>
        <w:t> </w:t>
      </w:r>
      <w:r>
        <w:rPr>
          <w:sz w:val="24"/>
        </w:rPr>
        <w:t>of</w:t>
      </w:r>
      <w:r>
        <w:rPr>
          <w:spacing w:val="-12"/>
          <w:sz w:val="24"/>
        </w:rPr>
        <w:t> </w:t>
      </w:r>
      <w:r>
        <w:rPr>
          <w:sz w:val="24"/>
        </w:rPr>
        <w:t>a</w:t>
      </w:r>
      <w:r>
        <w:rPr>
          <w:spacing w:val="-12"/>
          <w:sz w:val="24"/>
        </w:rPr>
        <w:t> </w:t>
      </w:r>
      <w:r>
        <w:rPr>
          <w:sz w:val="24"/>
        </w:rPr>
        <w:t>physical</w:t>
      </w:r>
      <w:r>
        <w:rPr>
          <w:spacing w:val="-8"/>
          <w:sz w:val="24"/>
        </w:rPr>
        <w:t> </w:t>
      </w:r>
      <w:r>
        <w:rPr>
          <w:sz w:val="24"/>
        </w:rPr>
        <w:t>inventory</w:t>
      </w:r>
      <w:r>
        <w:rPr>
          <w:spacing w:val="-11"/>
          <w:sz w:val="24"/>
        </w:rPr>
        <w:t> </w:t>
      </w:r>
      <w:r>
        <w:rPr>
          <w:sz w:val="24"/>
        </w:rPr>
        <w:t>Overage</w:t>
      </w:r>
      <w:r>
        <w:rPr>
          <w:spacing w:val="-12"/>
          <w:sz w:val="24"/>
        </w:rPr>
        <w:t> </w:t>
      </w:r>
      <w:r>
        <w:rPr>
          <w:sz w:val="24"/>
        </w:rPr>
        <w:t>of</w:t>
      </w:r>
      <w:r>
        <w:rPr>
          <w:spacing w:val="-13"/>
          <w:sz w:val="24"/>
        </w:rPr>
        <w:t> </w:t>
      </w:r>
      <w:r>
        <w:rPr>
          <w:sz w:val="24"/>
        </w:rPr>
        <w:t>the</w:t>
      </w:r>
      <w:r>
        <w:rPr>
          <w:spacing w:val="-12"/>
          <w:sz w:val="24"/>
        </w:rPr>
        <w:t> </w:t>
      </w:r>
      <w:r>
        <w:rPr>
          <w:sz w:val="24"/>
        </w:rPr>
        <w:t>Vendor’s</w:t>
      </w:r>
      <w:r>
        <w:rPr>
          <w:spacing w:val="-11"/>
          <w:sz w:val="24"/>
        </w:rPr>
        <w:t> </w:t>
      </w:r>
      <w:r>
        <w:rPr>
          <w:sz w:val="24"/>
        </w:rPr>
        <w:t>product,</w:t>
      </w:r>
      <w:r>
        <w:rPr>
          <w:spacing w:val="-11"/>
          <w:sz w:val="24"/>
        </w:rPr>
        <w:t> </w:t>
      </w:r>
      <w:r>
        <w:rPr>
          <w:sz w:val="24"/>
        </w:rPr>
        <w:t>the</w:t>
      </w:r>
      <w:r>
        <w:rPr>
          <w:spacing w:val="-12"/>
          <w:sz w:val="24"/>
        </w:rPr>
        <w:t> </w:t>
      </w:r>
      <w:r>
        <w:rPr>
          <w:sz w:val="24"/>
        </w:rPr>
        <w:t>PLCB will take possession of the surplus</w:t>
      </w:r>
      <w:r>
        <w:rPr>
          <w:spacing w:val="-4"/>
          <w:sz w:val="24"/>
        </w:rPr>
        <w:t> </w:t>
      </w:r>
      <w:r>
        <w:rPr>
          <w:sz w:val="24"/>
        </w:rPr>
        <w:t>inventory.</w:t>
      </w:r>
    </w:p>
    <w:p>
      <w:pPr>
        <w:pStyle w:val="BodyText"/>
        <w:spacing w:before="11"/>
        <w:rPr>
          <w:sz w:val="27"/>
        </w:rPr>
      </w:pPr>
    </w:p>
    <w:p>
      <w:pPr>
        <w:pStyle w:val="ListParagraph"/>
        <w:numPr>
          <w:ilvl w:val="1"/>
          <w:numId w:val="2"/>
        </w:numPr>
        <w:tabs>
          <w:tab w:pos="1380" w:val="left" w:leader="none"/>
        </w:tabs>
        <w:spacing w:line="240" w:lineRule="auto" w:before="0" w:after="0"/>
        <w:ind w:left="1380" w:right="523" w:hanging="360"/>
        <w:jc w:val="left"/>
        <w:rPr>
          <w:sz w:val="24"/>
        </w:rPr>
      </w:pPr>
      <w:r>
        <w:rPr>
          <w:sz w:val="24"/>
        </w:rPr>
        <w:t>In the event that a physical inventory is scheduled to be taken, the PLCB will provide the Vendor with thirty calendar days’ advance</w:t>
      </w:r>
      <w:r>
        <w:rPr>
          <w:spacing w:val="-4"/>
          <w:sz w:val="24"/>
        </w:rPr>
        <w:t> </w:t>
      </w:r>
      <w:r>
        <w:rPr>
          <w:sz w:val="24"/>
        </w:rPr>
        <w:t>notice.</w:t>
      </w:r>
    </w:p>
    <w:p>
      <w:pPr>
        <w:spacing w:after="0" w:line="240" w:lineRule="auto"/>
        <w:jc w:val="left"/>
        <w:rPr>
          <w:sz w:val="24"/>
        </w:rPr>
        <w:sectPr>
          <w:pgSz w:w="12240" w:h="15840"/>
          <w:pgMar w:header="0" w:footer="1006" w:top="1380" w:bottom="1200" w:left="1140" w:right="900"/>
        </w:sectPr>
      </w:pPr>
    </w:p>
    <w:p>
      <w:pPr>
        <w:pStyle w:val="ListParagraph"/>
        <w:numPr>
          <w:ilvl w:val="0"/>
          <w:numId w:val="2"/>
        </w:numPr>
        <w:tabs>
          <w:tab w:pos="1020" w:val="left" w:leader="none"/>
        </w:tabs>
        <w:spacing w:line="247" w:lineRule="auto" w:before="69" w:after="0"/>
        <w:ind w:left="1020" w:right="524" w:hanging="720"/>
        <w:jc w:val="both"/>
        <w:rPr>
          <w:sz w:val="24"/>
        </w:rPr>
      </w:pPr>
      <w:r>
        <w:rPr>
          <w:sz w:val="24"/>
        </w:rPr>
        <w:t>The</w:t>
      </w:r>
      <w:r>
        <w:rPr>
          <w:spacing w:val="-12"/>
          <w:sz w:val="24"/>
        </w:rPr>
        <w:t> </w:t>
      </w:r>
      <w:r>
        <w:rPr>
          <w:sz w:val="24"/>
        </w:rPr>
        <w:t>Vendor</w:t>
      </w:r>
      <w:r>
        <w:rPr>
          <w:spacing w:val="-12"/>
          <w:sz w:val="24"/>
        </w:rPr>
        <w:t> </w:t>
      </w:r>
      <w:r>
        <w:rPr>
          <w:sz w:val="24"/>
        </w:rPr>
        <w:t>may</w:t>
      </w:r>
      <w:r>
        <w:rPr>
          <w:spacing w:val="-9"/>
          <w:sz w:val="24"/>
        </w:rPr>
        <w:t> </w:t>
      </w:r>
      <w:r>
        <w:rPr>
          <w:sz w:val="24"/>
        </w:rPr>
        <w:t>conduct</w:t>
      </w:r>
      <w:r>
        <w:rPr>
          <w:spacing w:val="-8"/>
          <w:sz w:val="24"/>
        </w:rPr>
        <w:t> </w:t>
      </w:r>
      <w:r>
        <w:rPr>
          <w:sz w:val="24"/>
        </w:rPr>
        <w:t>physical</w:t>
      </w:r>
      <w:r>
        <w:rPr>
          <w:spacing w:val="-11"/>
          <w:sz w:val="24"/>
        </w:rPr>
        <w:t> </w:t>
      </w:r>
      <w:r>
        <w:rPr>
          <w:sz w:val="24"/>
        </w:rPr>
        <w:t>counts</w:t>
      </w:r>
      <w:r>
        <w:rPr>
          <w:spacing w:val="-11"/>
          <w:sz w:val="24"/>
        </w:rPr>
        <w:t> </w:t>
      </w:r>
      <w:r>
        <w:rPr>
          <w:sz w:val="24"/>
        </w:rPr>
        <w:t>of</w:t>
      </w:r>
      <w:r>
        <w:rPr>
          <w:spacing w:val="-11"/>
          <w:sz w:val="24"/>
        </w:rPr>
        <w:t> </w:t>
      </w:r>
      <w:r>
        <w:rPr>
          <w:sz w:val="24"/>
        </w:rPr>
        <w:t>its</w:t>
      </w:r>
      <w:r>
        <w:rPr>
          <w:spacing w:val="-11"/>
          <w:sz w:val="24"/>
        </w:rPr>
        <w:t> </w:t>
      </w:r>
      <w:r>
        <w:rPr>
          <w:sz w:val="24"/>
        </w:rPr>
        <w:t>bailed</w:t>
      </w:r>
      <w:r>
        <w:rPr>
          <w:spacing w:val="-11"/>
          <w:sz w:val="24"/>
        </w:rPr>
        <w:t> </w:t>
      </w:r>
      <w:r>
        <w:rPr>
          <w:sz w:val="24"/>
        </w:rPr>
        <w:t>product</w:t>
      </w:r>
      <w:r>
        <w:rPr>
          <w:spacing w:val="-11"/>
          <w:sz w:val="24"/>
        </w:rPr>
        <w:t> </w:t>
      </w:r>
      <w:r>
        <w:rPr>
          <w:sz w:val="24"/>
        </w:rPr>
        <w:t>in</w:t>
      </w:r>
      <w:r>
        <w:rPr>
          <w:spacing w:val="-11"/>
          <w:sz w:val="24"/>
        </w:rPr>
        <w:t> </w:t>
      </w:r>
      <w:r>
        <w:rPr>
          <w:sz w:val="24"/>
        </w:rPr>
        <w:t>a</w:t>
      </w:r>
      <w:r>
        <w:rPr>
          <w:spacing w:val="-10"/>
          <w:sz w:val="24"/>
        </w:rPr>
        <w:t> </w:t>
      </w:r>
      <w:r>
        <w:rPr>
          <w:sz w:val="24"/>
        </w:rPr>
        <w:t>DC</w:t>
      </w:r>
      <w:r>
        <w:rPr>
          <w:spacing w:val="-9"/>
          <w:sz w:val="24"/>
        </w:rPr>
        <w:t> </w:t>
      </w:r>
      <w:r>
        <w:rPr>
          <w:sz w:val="24"/>
        </w:rPr>
        <w:t>for</w:t>
      </w:r>
      <w:r>
        <w:rPr>
          <w:spacing w:val="-9"/>
          <w:sz w:val="24"/>
        </w:rPr>
        <w:t> </w:t>
      </w:r>
      <w:r>
        <w:rPr>
          <w:sz w:val="24"/>
        </w:rPr>
        <w:t>its</w:t>
      </w:r>
      <w:r>
        <w:rPr>
          <w:spacing w:val="-11"/>
          <w:sz w:val="24"/>
        </w:rPr>
        <w:t> </w:t>
      </w:r>
      <w:r>
        <w:rPr>
          <w:sz w:val="24"/>
        </w:rPr>
        <w:t>own</w:t>
      </w:r>
      <w:r>
        <w:rPr>
          <w:spacing w:val="-11"/>
          <w:sz w:val="24"/>
        </w:rPr>
        <w:t> </w:t>
      </w:r>
      <w:r>
        <w:rPr>
          <w:sz w:val="24"/>
        </w:rPr>
        <w:t>purposes after providing adequate notice to the PLCB Bureau of Distribution and Logistics of its intent</w:t>
      </w:r>
      <w:r>
        <w:rPr>
          <w:spacing w:val="-11"/>
          <w:sz w:val="24"/>
        </w:rPr>
        <w:t> </w:t>
      </w:r>
      <w:r>
        <w:rPr>
          <w:sz w:val="24"/>
        </w:rPr>
        <w:t>to</w:t>
      </w:r>
      <w:r>
        <w:rPr>
          <w:spacing w:val="-11"/>
          <w:sz w:val="24"/>
        </w:rPr>
        <w:t> </w:t>
      </w:r>
      <w:r>
        <w:rPr>
          <w:sz w:val="24"/>
        </w:rPr>
        <w:t>do</w:t>
      </w:r>
      <w:r>
        <w:rPr>
          <w:spacing w:val="-13"/>
          <w:sz w:val="24"/>
        </w:rPr>
        <w:t> </w:t>
      </w:r>
      <w:r>
        <w:rPr>
          <w:sz w:val="24"/>
        </w:rPr>
        <w:t>so.</w:t>
      </w:r>
      <w:r>
        <w:rPr>
          <w:spacing w:val="37"/>
          <w:sz w:val="24"/>
        </w:rPr>
        <w:t> </w:t>
      </w:r>
      <w:r>
        <w:rPr>
          <w:sz w:val="24"/>
        </w:rPr>
        <w:t>The</w:t>
      </w:r>
      <w:r>
        <w:rPr>
          <w:spacing w:val="-12"/>
          <w:sz w:val="24"/>
        </w:rPr>
        <w:t> </w:t>
      </w:r>
      <w:r>
        <w:rPr>
          <w:sz w:val="24"/>
        </w:rPr>
        <w:t>date</w:t>
      </w:r>
      <w:r>
        <w:rPr>
          <w:spacing w:val="-12"/>
          <w:sz w:val="24"/>
        </w:rPr>
        <w:t> </w:t>
      </w:r>
      <w:r>
        <w:rPr>
          <w:sz w:val="24"/>
        </w:rPr>
        <w:t>and</w:t>
      </w:r>
      <w:r>
        <w:rPr>
          <w:spacing w:val="-10"/>
          <w:sz w:val="24"/>
        </w:rPr>
        <w:t> </w:t>
      </w:r>
      <w:r>
        <w:rPr>
          <w:sz w:val="24"/>
        </w:rPr>
        <w:t>time</w:t>
      </w:r>
      <w:r>
        <w:rPr>
          <w:spacing w:val="-12"/>
          <w:sz w:val="24"/>
        </w:rPr>
        <w:t> </w:t>
      </w:r>
      <w:r>
        <w:rPr>
          <w:sz w:val="24"/>
        </w:rPr>
        <w:t>of</w:t>
      </w:r>
      <w:r>
        <w:rPr>
          <w:spacing w:val="-12"/>
          <w:sz w:val="24"/>
        </w:rPr>
        <w:t> </w:t>
      </w:r>
      <w:r>
        <w:rPr>
          <w:sz w:val="24"/>
        </w:rPr>
        <w:t>the</w:t>
      </w:r>
      <w:r>
        <w:rPr>
          <w:spacing w:val="-12"/>
          <w:sz w:val="24"/>
        </w:rPr>
        <w:t> </w:t>
      </w:r>
      <w:r>
        <w:rPr>
          <w:sz w:val="24"/>
        </w:rPr>
        <w:t>count</w:t>
      </w:r>
      <w:r>
        <w:rPr>
          <w:spacing w:val="-10"/>
          <w:sz w:val="24"/>
        </w:rPr>
        <w:t> </w:t>
      </w:r>
      <w:r>
        <w:rPr>
          <w:sz w:val="24"/>
        </w:rPr>
        <w:t>will</w:t>
      </w:r>
      <w:r>
        <w:rPr>
          <w:spacing w:val="-13"/>
          <w:sz w:val="24"/>
        </w:rPr>
        <w:t> </w:t>
      </w:r>
      <w:r>
        <w:rPr>
          <w:sz w:val="24"/>
        </w:rPr>
        <w:t>be</w:t>
      </w:r>
      <w:r>
        <w:rPr>
          <w:spacing w:val="-12"/>
          <w:sz w:val="24"/>
        </w:rPr>
        <w:t> </w:t>
      </w:r>
      <w:r>
        <w:rPr>
          <w:sz w:val="24"/>
        </w:rPr>
        <w:t>at</w:t>
      </w:r>
      <w:r>
        <w:rPr>
          <w:spacing w:val="-10"/>
          <w:sz w:val="24"/>
        </w:rPr>
        <w:t> </w:t>
      </w:r>
      <w:r>
        <w:rPr>
          <w:sz w:val="24"/>
        </w:rPr>
        <w:t>the</w:t>
      </w:r>
      <w:r>
        <w:rPr>
          <w:spacing w:val="-12"/>
          <w:sz w:val="24"/>
        </w:rPr>
        <w:t> </w:t>
      </w:r>
      <w:r>
        <w:rPr>
          <w:sz w:val="24"/>
        </w:rPr>
        <w:t>discretion</w:t>
      </w:r>
      <w:r>
        <w:rPr>
          <w:spacing w:val="-11"/>
          <w:sz w:val="24"/>
        </w:rPr>
        <w:t> </w:t>
      </w:r>
      <w:r>
        <w:rPr>
          <w:sz w:val="24"/>
        </w:rPr>
        <w:t>of</w:t>
      </w:r>
      <w:r>
        <w:rPr>
          <w:spacing w:val="-12"/>
          <w:sz w:val="24"/>
        </w:rPr>
        <w:t> </w:t>
      </w:r>
      <w:r>
        <w:rPr>
          <w:sz w:val="24"/>
        </w:rPr>
        <w:t>the</w:t>
      </w:r>
      <w:r>
        <w:rPr>
          <w:spacing w:val="-13"/>
          <w:sz w:val="24"/>
        </w:rPr>
        <w:t> </w:t>
      </w:r>
      <w:r>
        <w:rPr>
          <w:sz w:val="24"/>
        </w:rPr>
        <w:t>PLCB,</w:t>
      </w:r>
      <w:r>
        <w:rPr>
          <w:spacing w:val="-13"/>
          <w:sz w:val="24"/>
        </w:rPr>
        <w:t> </w:t>
      </w:r>
      <w:r>
        <w:rPr>
          <w:sz w:val="24"/>
        </w:rPr>
        <w:t>subject to business considerations. Costs for conducting the physical counts will be the responsibility of the Vendor. Discrepancies discovered in these counts shall be resolved as provided above in Paragraph</w:t>
      </w:r>
      <w:r>
        <w:rPr>
          <w:spacing w:val="-2"/>
          <w:sz w:val="24"/>
        </w:rPr>
        <w:t> </w:t>
      </w:r>
      <w:r>
        <w:rPr>
          <w:sz w:val="24"/>
        </w:rPr>
        <w:t>20.</w:t>
      </w:r>
    </w:p>
    <w:p>
      <w:pPr>
        <w:pStyle w:val="BodyText"/>
        <w:spacing w:before="5"/>
        <w:rPr>
          <w:sz w:val="26"/>
        </w:rPr>
      </w:pPr>
    </w:p>
    <w:p>
      <w:pPr>
        <w:pStyle w:val="ListParagraph"/>
        <w:numPr>
          <w:ilvl w:val="0"/>
          <w:numId w:val="2"/>
        </w:numPr>
        <w:tabs>
          <w:tab w:pos="1020" w:val="left" w:leader="none"/>
        </w:tabs>
        <w:spacing w:line="244" w:lineRule="auto" w:before="0" w:after="0"/>
        <w:ind w:left="1020" w:right="526" w:hanging="720"/>
        <w:jc w:val="both"/>
        <w:rPr>
          <w:sz w:val="24"/>
        </w:rPr>
      </w:pPr>
      <w:r>
        <w:rPr>
          <w:sz w:val="24"/>
        </w:rPr>
        <w:t>The Vendor will have secure access via the Internet to the Vendor Collaboration Portal (“Portal”), which will allow the Vendor to access information regarding the Vendor’s product that is stored in each PLCB</w:t>
      </w:r>
      <w:r>
        <w:rPr>
          <w:spacing w:val="-1"/>
          <w:sz w:val="24"/>
        </w:rPr>
        <w:t> </w:t>
      </w:r>
      <w:r>
        <w:rPr>
          <w:sz w:val="24"/>
        </w:rPr>
        <w:t>DC.</w:t>
      </w:r>
    </w:p>
    <w:p>
      <w:pPr>
        <w:pStyle w:val="BodyText"/>
        <w:spacing w:before="3"/>
        <w:rPr>
          <w:sz w:val="27"/>
        </w:rPr>
      </w:pPr>
    </w:p>
    <w:p>
      <w:pPr>
        <w:pStyle w:val="ListParagraph"/>
        <w:numPr>
          <w:ilvl w:val="0"/>
          <w:numId w:val="2"/>
        </w:numPr>
        <w:tabs>
          <w:tab w:pos="1019" w:val="left" w:leader="none"/>
          <w:tab w:pos="1020" w:val="left" w:leader="none"/>
        </w:tabs>
        <w:spacing w:line="240" w:lineRule="auto" w:before="0" w:after="0"/>
        <w:ind w:left="1020" w:right="0" w:hanging="720"/>
        <w:jc w:val="left"/>
        <w:rPr>
          <w:sz w:val="24"/>
        </w:rPr>
      </w:pPr>
      <w:r>
        <w:rPr>
          <w:sz w:val="24"/>
        </w:rPr>
        <w:t>The Vendor will use the portal to view the following planning</w:t>
      </w:r>
      <w:r>
        <w:rPr>
          <w:spacing w:val="-7"/>
          <w:sz w:val="24"/>
        </w:rPr>
        <w:t> </w:t>
      </w:r>
      <w:r>
        <w:rPr>
          <w:sz w:val="24"/>
        </w:rPr>
        <w:t>information:</w:t>
      </w:r>
    </w:p>
    <w:p>
      <w:pPr>
        <w:pStyle w:val="BodyText"/>
        <w:spacing w:before="10"/>
        <w:rPr>
          <w:sz w:val="26"/>
        </w:rPr>
      </w:pPr>
    </w:p>
    <w:p>
      <w:pPr>
        <w:pStyle w:val="ListParagraph"/>
        <w:numPr>
          <w:ilvl w:val="1"/>
          <w:numId w:val="2"/>
        </w:numPr>
        <w:tabs>
          <w:tab w:pos="1380" w:val="left" w:leader="none"/>
        </w:tabs>
        <w:spacing w:line="240" w:lineRule="auto" w:before="1" w:after="0"/>
        <w:ind w:left="1380" w:right="527" w:hanging="360"/>
        <w:jc w:val="left"/>
        <w:rPr>
          <w:sz w:val="24"/>
        </w:rPr>
      </w:pPr>
      <w:r>
        <w:rPr>
          <w:sz w:val="24"/>
        </w:rPr>
        <w:t>Forecast:</w:t>
      </w:r>
      <w:r>
        <w:rPr>
          <w:spacing w:val="40"/>
          <w:sz w:val="24"/>
        </w:rPr>
        <w:t> </w:t>
      </w:r>
      <w:r>
        <w:rPr>
          <w:sz w:val="24"/>
        </w:rPr>
        <w:t>The</w:t>
      </w:r>
      <w:r>
        <w:rPr>
          <w:spacing w:val="-11"/>
          <w:sz w:val="24"/>
        </w:rPr>
        <w:t> </w:t>
      </w:r>
      <w:r>
        <w:rPr>
          <w:sz w:val="24"/>
        </w:rPr>
        <w:t>Vendor</w:t>
      </w:r>
      <w:r>
        <w:rPr>
          <w:spacing w:val="-9"/>
          <w:sz w:val="24"/>
        </w:rPr>
        <w:t> </w:t>
      </w:r>
      <w:r>
        <w:rPr>
          <w:sz w:val="24"/>
        </w:rPr>
        <w:t>will</w:t>
      </w:r>
      <w:r>
        <w:rPr>
          <w:spacing w:val="-11"/>
          <w:sz w:val="24"/>
        </w:rPr>
        <w:t> </w:t>
      </w:r>
      <w:r>
        <w:rPr>
          <w:sz w:val="24"/>
        </w:rPr>
        <w:t>be</w:t>
      </w:r>
      <w:r>
        <w:rPr>
          <w:spacing w:val="-13"/>
          <w:sz w:val="24"/>
        </w:rPr>
        <w:t> </w:t>
      </w:r>
      <w:r>
        <w:rPr>
          <w:sz w:val="24"/>
        </w:rPr>
        <w:t>given</w:t>
      </w:r>
      <w:r>
        <w:rPr>
          <w:spacing w:val="-9"/>
          <w:sz w:val="24"/>
        </w:rPr>
        <w:t> </w:t>
      </w:r>
      <w:r>
        <w:rPr>
          <w:sz w:val="24"/>
        </w:rPr>
        <w:t>visibility</w:t>
      </w:r>
      <w:r>
        <w:rPr>
          <w:spacing w:val="-11"/>
          <w:sz w:val="24"/>
        </w:rPr>
        <w:t> </w:t>
      </w:r>
      <w:r>
        <w:rPr>
          <w:sz w:val="24"/>
        </w:rPr>
        <w:t>to</w:t>
      </w:r>
      <w:r>
        <w:rPr>
          <w:spacing w:val="-12"/>
          <w:sz w:val="24"/>
        </w:rPr>
        <w:t> </w:t>
      </w:r>
      <w:r>
        <w:rPr>
          <w:sz w:val="24"/>
        </w:rPr>
        <w:t>at</w:t>
      </w:r>
      <w:r>
        <w:rPr>
          <w:spacing w:val="-8"/>
          <w:sz w:val="24"/>
        </w:rPr>
        <w:t> </w:t>
      </w:r>
      <w:r>
        <w:rPr>
          <w:sz w:val="24"/>
        </w:rPr>
        <w:t>least</w:t>
      </w:r>
      <w:r>
        <w:rPr>
          <w:spacing w:val="-11"/>
          <w:sz w:val="24"/>
        </w:rPr>
        <w:t> </w:t>
      </w:r>
      <w:r>
        <w:rPr>
          <w:sz w:val="24"/>
        </w:rPr>
        <w:t>twenty-six</w:t>
      </w:r>
      <w:r>
        <w:rPr>
          <w:spacing w:val="-10"/>
          <w:sz w:val="24"/>
        </w:rPr>
        <w:t> </w:t>
      </w:r>
      <w:r>
        <w:rPr>
          <w:sz w:val="24"/>
        </w:rPr>
        <w:t>weeks</w:t>
      </w:r>
      <w:r>
        <w:rPr>
          <w:spacing w:val="-8"/>
          <w:sz w:val="24"/>
        </w:rPr>
        <w:t> </w:t>
      </w:r>
      <w:r>
        <w:rPr>
          <w:sz w:val="24"/>
        </w:rPr>
        <w:t>of</w:t>
      </w:r>
      <w:r>
        <w:rPr>
          <w:spacing w:val="-9"/>
          <w:sz w:val="24"/>
        </w:rPr>
        <w:t> </w:t>
      </w:r>
      <w:r>
        <w:rPr>
          <w:sz w:val="24"/>
        </w:rPr>
        <w:t>POS</w:t>
      </w:r>
      <w:r>
        <w:rPr>
          <w:spacing w:val="-11"/>
          <w:sz w:val="24"/>
        </w:rPr>
        <w:t> </w:t>
      </w:r>
      <w:r>
        <w:rPr>
          <w:sz w:val="24"/>
        </w:rPr>
        <w:t>Sales Forecast.</w:t>
      </w:r>
    </w:p>
    <w:p>
      <w:pPr>
        <w:pStyle w:val="BodyText"/>
        <w:spacing w:before="10"/>
        <w:rPr>
          <w:sz w:val="27"/>
        </w:rPr>
      </w:pPr>
    </w:p>
    <w:p>
      <w:pPr>
        <w:pStyle w:val="ListParagraph"/>
        <w:numPr>
          <w:ilvl w:val="1"/>
          <w:numId w:val="2"/>
        </w:numPr>
        <w:tabs>
          <w:tab w:pos="1380" w:val="left" w:leader="none"/>
        </w:tabs>
        <w:spacing w:line="240" w:lineRule="auto" w:before="0" w:after="0"/>
        <w:ind w:left="1380" w:right="527" w:hanging="360"/>
        <w:jc w:val="left"/>
        <w:rPr>
          <w:sz w:val="24"/>
        </w:rPr>
      </w:pPr>
      <w:r>
        <w:rPr>
          <w:sz w:val="24"/>
        </w:rPr>
        <w:t>Sales History: The Vendor will be given visibility to at least thirteen weeks of sales history.</w:t>
      </w:r>
    </w:p>
    <w:p>
      <w:pPr>
        <w:pStyle w:val="BodyText"/>
        <w:spacing w:before="9"/>
        <w:rPr>
          <w:sz w:val="27"/>
        </w:rPr>
      </w:pPr>
    </w:p>
    <w:p>
      <w:pPr>
        <w:pStyle w:val="ListParagraph"/>
        <w:numPr>
          <w:ilvl w:val="1"/>
          <w:numId w:val="2"/>
        </w:numPr>
        <w:tabs>
          <w:tab w:pos="1380" w:val="left" w:leader="none"/>
        </w:tabs>
        <w:spacing w:line="240" w:lineRule="auto" w:before="0" w:after="0"/>
        <w:ind w:left="1380" w:right="527" w:hanging="360"/>
        <w:jc w:val="left"/>
        <w:rPr>
          <w:sz w:val="24"/>
        </w:rPr>
      </w:pPr>
      <w:r>
        <w:rPr>
          <w:sz w:val="24"/>
        </w:rPr>
        <w:t>Inventory: The Vendor will be given visibility to current DC inventory and aggregate store on-hand</w:t>
      </w:r>
      <w:r>
        <w:rPr>
          <w:spacing w:val="-2"/>
          <w:sz w:val="24"/>
        </w:rPr>
        <w:t> </w:t>
      </w:r>
      <w:r>
        <w:rPr>
          <w:sz w:val="24"/>
        </w:rPr>
        <w:t>inventory.</w:t>
      </w:r>
    </w:p>
    <w:p>
      <w:pPr>
        <w:pStyle w:val="BodyText"/>
        <w:spacing w:before="8"/>
        <w:rPr>
          <w:sz w:val="27"/>
        </w:rPr>
      </w:pPr>
    </w:p>
    <w:p>
      <w:pPr>
        <w:pStyle w:val="ListParagraph"/>
        <w:numPr>
          <w:ilvl w:val="1"/>
          <w:numId w:val="2"/>
        </w:numPr>
        <w:tabs>
          <w:tab w:pos="1380" w:val="left" w:leader="none"/>
        </w:tabs>
        <w:spacing w:line="242" w:lineRule="auto" w:before="0" w:after="0"/>
        <w:ind w:left="1380" w:right="525" w:hanging="360"/>
        <w:jc w:val="both"/>
        <w:rPr>
          <w:sz w:val="24"/>
        </w:rPr>
      </w:pPr>
      <w:r>
        <w:rPr>
          <w:sz w:val="24"/>
        </w:rPr>
        <w:t>Planned Bailment Withdrawals: The Vendor will be given visibility to the items and quantities</w:t>
      </w:r>
      <w:r>
        <w:rPr>
          <w:spacing w:val="-14"/>
          <w:sz w:val="24"/>
        </w:rPr>
        <w:t> </w:t>
      </w:r>
      <w:r>
        <w:rPr>
          <w:sz w:val="24"/>
        </w:rPr>
        <w:t>which</w:t>
      </w:r>
      <w:r>
        <w:rPr>
          <w:spacing w:val="-13"/>
          <w:sz w:val="24"/>
        </w:rPr>
        <w:t> </w:t>
      </w:r>
      <w:r>
        <w:rPr>
          <w:sz w:val="24"/>
        </w:rPr>
        <w:t>PLCB</w:t>
      </w:r>
      <w:r>
        <w:rPr>
          <w:spacing w:val="-14"/>
          <w:sz w:val="24"/>
        </w:rPr>
        <w:t> </w:t>
      </w:r>
      <w:r>
        <w:rPr>
          <w:sz w:val="24"/>
        </w:rPr>
        <w:t>plans</w:t>
      </w:r>
      <w:r>
        <w:rPr>
          <w:spacing w:val="-13"/>
          <w:sz w:val="24"/>
        </w:rPr>
        <w:t> </w:t>
      </w:r>
      <w:r>
        <w:rPr>
          <w:sz w:val="24"/>
        </w:rPr>
        <w:t>to</w:t>
      </w:r>
      <w:r>
        <w:rPr>
          <w:spacing w:val="-13"/>
          <w:sz w:val="24"/>
        </w:rPr>
        <w:t> </w:t>
      </w:r>
      <w:r>
        <w:rPr>
          <w:sz w:val="24"/>
        </w:rPr>
        <w:t>transfer</w:t>
      </w:r>
      <w:r>
        <w:rPr>
          <w:spacing w:val="-15"/>
          <w:sz w:val="24"/>
        </w:rPr>
        <w:t> </w:t>
      </w:r>
      <w:r>
        <w:rPr>
          <w:sz w:val="24"/>
        </w:rPr>
        <w:t>from</w:t>
      </w:r>
      <w:r>
        <w:rPr>
          <w:spacing w:val="-13"/>
          <w:sz w:val="24"/>
        </w:rPr>
        <w:t> </w:t>
      </w:r>
      <w:r>
        <w:rPr>
          <w:sz w:val="24"/>
        </w:rPr>
        <w:t>bailment</w:t>
      </w:r>
      <w:r>
        <w:rPr>
          <w:spacing w:val="-14"/>
          <w:sz w:val="24"/>
        </w:rPr>
        <w:t> </w:t>
      </w:r>
      <w:r>
        <w:rPr>
          <w:sz w:val="24"/>
        </w:rPr>
        <w:t>to</w:t>
      </w:r>
      <w:r>
        <w:rPr>
          <w:spacing w:val="-13"/>
          <w:sz w:val="24"/>
        </w:rPr>
        <w:t> </w:t>
      </w:r>
      <w:r>
        <w:rPr>
          <w:sz w:val="24"/>
        </w:rPr>
        <w:t>PLCBowned</w:t>
      </w:r>
      <w:r>
        <w:rPr>
          <w:spacing w:val="-13"/>
          <w:sz w:val="24"/>
        </w:rPr>
        <w:t> </w:t>
      </w:r>
      <w:r>
        <w:rPr>
          <w:sz w:val="24"/>
        </w:rPr>
        <w:t>inventory;</w:t>
      </w:r>
      <w:r>
        <w:rPr>
          <w:spacing w:val="-14"/>
          <w:sz w:val="24"/>
        </w:rPr>
        <w:t> </w:t>
      </w:r>
      <w:r>
        <w:rPr>
          <w:sz w:val="24"/>
        </w:rPr>
        <w:t>these represent the “planned</w:t>
      </w:r>
      <w:r>
        <w:rPr>
          <w:spacing w:val="-2"/>
          <w:sz w:val="24"/>
        </w:rPr>
        <w:t> </w:t>
      </w:r>
      <w:r>
        <w:rPr>
          <w:sz w:val="24"/>
        </w:rPr>
        <w:t>withdrawals.”</w:t>
      </w:r>
    </w:p>
    <w:p>
      <w:pPr>
        <w:pStyle w:val="BodyText"/>
        <w:spacing w:before="9"/>
        <w:rPr>
          <w:sz w:val="27"/>
        </w:rPr>
      </w:pPr>
    </w:p>
    <w:p>
      <w:pPr>
        <w:pStyle w:val="ListParagraph"/>
        <w:numPr>
          <w:ilvl w:val="0"/>
          <w:numId w:val="2"/>
        </w:numPr>
        <w:tabs>
          <w:tab w:pos="1020" w:val="left" w:leader="none"/>
        </w:tabs>
        <w:spacing w:line="247" w:lineRule="auto" w:before="0" w:after="0"/>
        <w:ind w:left="1020" w:right="523" w:hanging="720"/>
        <w:jc w:val="both"/>
        <w:rPr>
          <w:sz w:val="24"/>
        </w:rPr>
      </w:pPr>
      <w:r>
        <w:rPr>
          <w:sz w:val="24"/>
        </w:rPr>
        <w:t>It is understood and agreed between the parties that the PLCB will provide forecasting information that will be updated on a weekly basis. A forecast shall be provided for each PLCB DC at the “Product Code/Warehouse/Week” level. If the Vendor, based on its</w:t>
      </w:r>
      <w:r>
        <w:rPr>
          <w:spacing w:val="-26"/>
          <w:sz w:val="24"/>
        </w:rPr>
        <w:t> </w:t>
      </w:r>
      <w:r>
        <w:rPr>
          <w:sz w:val="24"/>
        </w:rPr>
        <w:t>own forecasting, believes the PLCB forecast should be adjusted, the Vendor may contact the PLCB to discuss the projected forecast. The PLCB expects a collaborative forecasting effort between the PLCB and the Vendor. The PLCB forecast may be manually adjusted, in a timely manner, to reflect the agreed-upon changes. Forecasts notwithstanding, the Vendor is solely responsible for maintaining bailment inventories in the DC to meet business</w:t>
      </w:r>
      <w:r>
        <w:rPr>
          <w:spacing w:val="-1"/>
          <w:sz w:val="24"/>
        </w:rPr>
        <w:t> </w:t>
      </w:r>
      <w:r>
        <w:rPr>
          <w:sz w:val="24"/>
        </w:rPr>
        <w:t>requirements.</w:t>
      </w:r>
    </w:p>
    <w:p>
      <w:pPr>
        <w:pStyle w:val="BodyText"/>
        <w:rPr>
          <w:sz w:val="27"/>
        </w:rPr>
      </w:pPr>
    </w:p>
    <w:p>
      <w:pPr>
        <w:pStyle w:val="ListParagraph"/>
        <w:numPr>
          <w:ilvl w:val="0"/>
          <w:numId w:val="2"/>
        </w:numPr>
        <w:tabs>
          <w:tab w:pos="1020" w:val="left" w:leader="none"/>
        </w:tabs>
        <w:spacing w:line="244" w:lineRule="auto" w:before="0" w:after="0"/>
        <w:ind w:left="1020" w:right="523" w:hanging="720"/>
        <w:jc w:val="both"/>
        <w:rPr>
          <w:sz w:val="24"/>
        </w:rPr>
      </w:pPr>
      <w:r>
        <w:rPr>
          <w:sz w:val="24"/>
        </w:rPr>
        <w:t>The Vendor will be responsible for replenishing its supply of bailed product in the PLCB DCs. The Vendor will manage the DC replenishment so that sufficient DC inventory is available</w:t>
      </w:r>
      <w:r>
        <w:rPr>
          <w:spacing w:val="-18"/>
          <w:sz w:val="24"/>
        </w:rPr>
        <w:t> </w:t>
      </w:r>
      <w:r>
        <w:rPr>
          <w:sz w:val="24"/>
        </w:rPr>
        <w:t>to</w:t>
      </w:r>
      <w:r>
        <w:rPr>
          <w:spacing w:val="-16"/>
          <w:sz w:val="24"/>
        </w:rPr>
        <w:t> </w:t>
      </w:r>
      <w:r>
        <w:rPr>
          <w:sz w:val="24"/>
        </w:rPr>
        <w:t>meet</w:t>
      </w:r>
      <w:r>
        <w:rPr>
          <w:spacing w:val="-15"/>
          <w:sz w:val="24"/>
        </w:rPr>
        <w:t> </w:t>
      </w:r>
      <w:r>
        <w:rPr>
          <w:sz w:val="24"/>
        </w:rPr>
        <w:t>consumer</w:t>
      </w:r>
      <w:r>
        <w:rPr>
          <w:spacing w:val="-17"/>
          <w:sz w:val="24"/>
        </w:rPr>
        <w:t> </w:t>
      </w:r>
      <w:r>
        <w:rPr>
          <w:sz w:val="24"/>
        </w:rPr>
        <w:t>and</w:t>
      </w:r>
      <w:r>
        <w:rPr>
          <w:spacing w:val="-16"/>
          <w:sz w:val="24"/>
        </w:rPr>
        <w:t> </w:t>
      </w:r>
      <w:r>
        <w:rPr>
          <w:sz w:val="24"/>
        </w:rPr>
        <w:t>store</w:t>
      </w:r>
      <w:r>
        <w:rPr>
          <w:spacing w:val="-18"/>
          <w:sz w:val="24"/>
        </w:rPr>
        <w:t> </w:t>
      </w:r>
      <w:r>
        <w:rPr>
          <w:sz w:val="24"/>
        </w:rPr>
        <w:t>demand,</w:t>
      </w:r>
      <w:r>
        <w:rPr>
          <w:spacing w:val="-16"/>
          <w:sz w:val="24"/>
        </w:rPr>
        <w:t> </w:t>
      </w:r>
      <w:r>
        <w:rPr>
          <w:sz w:val="24"/>
        </w:rPr>
        <w:t>while</w:t>
      </w:r>
      <w:r>
        <w:rPr>
          <w:spacing w:val="-17"/>
          <w:sz w:val="24"/>
        </w:rPr>
        <w:t> </w:t>
      </w:r>
      <w:r>
        <w:rPr>
          <w:sz w:val="24"/>
        </w:rPr>
        <w:t>staying</w:t>
      </w:r>
      <w:r>
        <w:rPr>
          <w:spacing w:val="-16"/>
          <w:sz w:val="24"/>
        </w:rPr>
        <w:t> </w:t>
      </w:r>
      <w:r>
        <w:rPr>
          <w:sz w:val="24"/>
        </w:rPr>
        <w:t>within</w:t>
      </w:r>
      <w:r>
        <w:rPr>
          <w:spacing w:val="-16"/>
          <w:sz w:val="24"/>
        </w:rPr>
        <w:t> </w:t>
      </w:r>
      <w:r>
        <w:rPr>
          <w:sz w:val="24"/>
        </w:rPr>
        <w:t>the</w:t>
      </w:r>
      <w:r>
        <w:rPr>
          <w:spacing w:val="-18"/>
          <w:sz w:val="24"/>
        </w:rPr>
        <w:t> </w:t>
      </w:r>
      <w:r>
        <w:rPr>
          <w:sz w:val="24"/>
        </w:rPr>
        <w:t>maximum</w:t>
      </w:r>
      <w:r>
        <w:rPr>
          <w:spacing w:val="-15"/>
          <w:sz w:val="24"/>
        </w:rPr>
        <w:t> </w:t>
      </w:r>
      <w:r>
        <w:rPr>
          <w:sz w:val="24"/>
        </w:rPr>
        <w:t>inventory guidelines established by the PLCB. (See Appendix</w:t>
      </w:r>
      <w:r>
        <w:rPr>
          <w:spacing w:val="-4"/>
          <w:sz w:val="24"/>
        </w:rPr>
        <w:t> </w:t>
      </w:r>
      <w:r>
        <w:rPr>
          <w:sz w:val="24"/>
        </w:rPr>
        <w:t>C).</w:t>
      </w:r>
    </w:p>
    <w:p>
      <w:pPr>
        <w:pStyle w:val="BodyText"/>
        <w:spacing w:before="5"/>
        <w:rPr>
          <w:sz w:val="27"/>
        </w:rPr>
      </w:pPr>
    </w:p>
    <w:p>
      <w:pPr>
        <w:pStyle w:val="ListParagraph"/>
        <w:numPr>
          <w:ilvl w:val="0"/>
          <w:numId w:val="2"/>
        </w:numPr>
        <w:tabs>
          <w:tab w:pos="1020" w:val="left" w:leader="none"/>
        </w:tabs>
        <w:spacing w:line="240" w:lineRule="auto" w:before="0" w:after="0"/>
        <w:ind w:left="1020" w:right="525" w:hanging="720"/>
        <w:jc w:val="both"/>
        <w:rPr>
          <w:sz w:val="24"/>
        </w:rPr>
      </w:pPr>
      <w:r>
        <w:rPr>
          <w:sz w:val="24"/>
        </w:rPr>
        <w:t>The PLCB reserves the right to charge penalties against the Vendor for failure to maintain an appropriate level of inventory. (See Appendix C). Penalties will be structured based</w:t>
      </w:r>
      <w:r>
        <w:rPr>
          <w:spacing w:val="-5"/>
          <w:sz w:val="24"/>
        </w:rPr>
        <w:t> </w:t>
      </w:r>
      <w:r>
        <w:rPr>
          <w:sz w:val="24"/>
        </w:rPr>
        <w:t>on</w:t>
      </w:r>
    </w:p>
    <w:p>
      <w:pPr>
        <w:spacing w:after="0" w:line="240" w:lineRule="auto"/>
        <w:jc w:val="both"/>
        <w:rPr>
          <w:sz w:val="24"/>
        </w:rPr>
        <w:sectPr>
          <w:pgSz w:w="12240" w:h="15840"/>
          <w:pgMar w:header="0" w:footer="1006" w:top="1380" w:bottom="1200" w:left="1140" w:right="900"/>
        </w:sectPr>
      </w:pPr>
    </w:p>
    <w:p>
      <w:pPr>
        <w:pStyle w:val="BodyText"/>
        <w:spacing w:line="247" w:lineRule="auto" w:before="68"/>
        <w:ind w:left="1020" w:right="526"/>
        <w:jc w:val="both"/>
      </w:pPr>
      <w:r>
        <w:rPr/>
        <w:t>the “ABC velocity inventory classification” of the items and will be assessed for performance at the velocity category level, not at the individual product code level. In other words, a vendor may be assessed a penalty if its inventory of velocity A products,</w:t>
      </w:r>
      <w:r>
        <w:rPr>
          <w:spacing w:val="-26"/>
        </w:rPr>
        <w:t> </w:t>
      </w:r>
      <w:r>
        <w:rPr/>
        <w:t>as a whole, fail to meet the required standards. The PLCB reserves the right, at its sole discretion, to determine the velocity inventory classification of all product, which classification may change from time to time according to the needs of the</w:t>
      </w:r>
      <w:r>
        <w:rPr>
          <w:spacing w:val="-10"/>
        </w:rPr>
        <w:t> </w:t>
      </w:r>
      <w:r>
        <w:rPr/>
        <w:t>PLCB.</w:t>
      </w:r>
    </w:p>
    <w:p>
      <w:pPr>
        <w:pStyle w:val="BodyText"/>
        <w:spacing w:before="6"/>
        <w:rPr>
          <w:sz w:val="27"/>
        </w:rPr>
      </w:pPr>
    </w:p>
    <w:p>
      <w:pPr>
        <w:pStyle w:val="ListParagraph"/>
        <w:numPr>
          <w:ilvl w:val="1"/>
          <w:numId w:val="2"/>
        </w:numPr>
        <w:tabs>
          <w:tab w:pos="1380" w:val="left" w:leader="none"/>
        </w:tabs>
        <w:spacing w:line="247" w:lineRule="auto" w:before="0" w:after="0"/>
        <w:ind w:left="1380" w:right="526" w:hanging="360"/>
        <w:jc w:val="both"/>
        <w:rPr>
          <w:sz w:val="24"/>
        </w:rPr>
      </w:pPr>
      <w:r>
        <w:rPr>
          <w:sz w:val="24"/>
        </w:rPr>
        <w:t>Penalty levels will be reviewed by the PLCB on a periodic basis and may be adjusted by the PLCB in its sole discretion. Any changes to the penalty structure, or to applicable penalty levels, will be announced a minimum of sixty calendar days before they become effective, to allow the Vendor time to adjust inventory levels to meet the PLCB’s</w:t>
      </w:r>
      <w:r>
        <w:rPr>
          <w:spacing w:val="-1"/>
          <w:sz w:val="24"/>
        </w:rPr>
        <w:t> </w:t>
      </w:r>
      <w:r>
        <w:rPr>
          <w:sz w:val="24"/>
        </w:rPr>
        <w:t>targets.</w:t>
      </w:r>
    </w:p>
    <w:p>
      <w:pPr>
        <w:pStyle w:val="BodyText"/>
        <w:spacing w:before="6"/>
        <w:rPr>
          <w:sz w:val="22"/>
        </w:rPr>
      </w:pPr>
    </w:p>
    <w:p>
      <w:pPr>
        <w:pStyle w:val="ListParagraph"/>
        <w:numPr>
          <w:ilvl w:val="1"/>
          <w:numId w:val="2"/>
        </w:numPr>
        <w:tabs>
          <w:tab w:pos="1380" w:val="left" w:leader="none"/>
        </w:tabs>
        <w:spacing w:line="244" w:lineRule="auto" w:before="1" w:after="0"/>
        <w:ind w:left="1380" w:right="522" w:hanging="360"/>
        <w:jc w:val="both"/>
        <w:rPr>
          <w:sz w:val="24"/>
        </w:rPr>
      </w:pPr>
      <w:r>
        <w:rPr>
          <w:sz w:val="24"/>
        </w:rPr>
        <w:t>Penalties will be assessed against the Vendor when the PLCB determines that the Vendor has failed to provide product in sufficient quantities to meet DC-to-retail store service level</w:t>
      </w:r>
      <w:r>
        <w:rPr>
          <w:spacing w:val="-2"/>
          <w:sz w:val="24"/>
        </w:rPr>
        <w:t> </w:t>
      </w:r>
      <w:r>
        <w:rPr>
          <w:sz w:val="24"/>
        </w:rPr>
        <w:t>targets.</w:t>
      </w:r>
    </w:p>
    <w:p>
      <w:pPr>
        <w:pStyle w:val="BodyText"/>
        <w:rPr>
          <w:sz w:val="23"/>
        </w:rPr>
      </w:pPr>
    </w:p>
    <w:p>
      <w:pPr>
        <w:pStyle w:val="ListParagraph"/>
        <w:numPr>
          <w:ilvl w:val="1"/>
          <w:numId w:val="2"/>
        </w:numPr>
        <w:tabs>
          <w:tab w:pos="1380" w:val="left" w:leader="none"/>
        </w:tabs>
        <w:spacing w:line="240" w:lineRule="auto" w:before="1" w:after="0"/>
        <w:ind w:left="1380" w:right="523" w:hanging="360"/>
        <w:jc w:val="both"/>
        <w:rPr>
          <w:sz w:val="24"/>
        </w:rPr>
      </w:pPr>
      <w:r>
        <w:rPr>
          <w:sz w:val="24"/>
        </w:rPr>
        <w:t>Penalties will be assessed against the Vendor for allowing DC inventory quantities to exceed the forecasted maximum allowable weeks of</w:t>
      </w:r>
      <w:r>
        <w:rPr>
          <w:spacing w:val="-3"/>
          <w:sz w:val="24"/>
        </w:rPr>
        <w:t> </w:t>
      </w:r>
      <w:r>
        <w:rPr>
          <w:sz w:val="24"/>
        </w:rPr>
        <w:t>supply.</w:t>
      </w:r>
    </w:p>
    <w:p>
      <w:pPr>
        <w:pStyle w:val="BodyText"/>
        <w:spacing w:before="8"/>
        <w:rPr>
          <w:sz w:val="27"/>
        </w:rPr>
      </w:pPr>
    </w:p>
    <w:p>
      <w:pPr>
        <w:pStyle w:val="ListParagraph"/>
        <w:numPr>
          <w:ilvl w:val="1"/>
          <w:numId w:val="2"/>
        </w:numPr>
        <w:tabs>
          <w:tab w:pos="1380" w:val="left" w:leader="none"/>
        </w:tabs>
        <w:spacing w:line="240" w:lineRule="auto" w:before="0" w:after="0"/>
        <w:ind w:left="1380" w:right="524" w:hanging="360"/>
        <w:jc w:val="both"/>
        <w:rPr>
          <w:sz w:val="24"/>
        </w:rPr>
      </w:pPr>
      <w:r>
        <w:rPr>
          <w:sz w:val="24"/>
        </w:rPr>
        <w:t>In addition, the PLCB will impose an administrative charge under the conditions set forth in Appendix</w:t>
      </w:r>
      <w:r>
        <w:rPr>
          <w:spacing w:val="-1"/>
          <w:sz w:val="24"/>
        </w:rPr>
        <w:t> </w:t>
      </w:r>
      <w:r>
        <w:rPr>
          <w:sz w:val="24"/>
        </w:rPr>
        <w:t>C.</w:t>
      </w:r>
    </w:p>
    <w:p>
      <w:pPr>
        <w:pStyle w:val="BodyText"/>
        <w:rPr>
          <w:sz w:val="26"/>
        </w:rPr>
      </w:pPr>
    </w:p>
    <w:p>
      <w:pPr>
        <w:pStyle w:val="BodyText"/>
        <w:spacing w:before="8"/>
        <w:rPr>
          <w:sz w:val="29"/>
        </w:rPr>
      </w:pPr>
    </w:p>
    <w:p>
      <w:pPr>
        <w:pStyle w:val="ListParagraph"/>
        <w:numPr>
          <w:ilvl w:val="0"/>
          <w:numId w:val="2"/>
        </w:numPr>
        <w:tabs>
          <w:tab w:pos="1020" w:val="left" w:leader="none"/>
        </w:tabs>
        <w:spacing w:line="244" w:lineRule="auto" w:before="0" w:after="0"/>
        <w:ind w:left="1020" w:right="524" w:hanging="720"/>
        <w:jc w:val="both"/>
        <w:rPr>
          <w:sz w:val="24"/>
        </w:rPr>
      </w:pPr>
      <w:r>
        <w:rPr>
          <w:sz w:val="24"/>
        </w:rPr>
        <w:t>Should</w:t>
      </w:r>
      <w:r>
        <w:rPr>
          <w:spacing w:val="-10"/>
          <w:sz w:val="24"/>
        </w:rPr>
        <w:t> </w:t>
      </w:r>
      <w:r>
        <w:rPr>
          <w:sz w:val="24"/>
        </w:rPr>
        <w:t>the</w:t>
      </w:r>
      <w:r>
        <w:rPr>
          <w:spacing w:val="-10"/>
          <w:sz w:val="24"/>
        </w:rPr>
        <w:t> </w:t>
      </w:r>
      <w:r>
        <w:rPr>
          <w:sz w:val="24"/>
        </w:rPr>
        <w:t>Vendor</w:t>
      </w:r>
      <w:r>
        <w:rPr>
          <w:spacing w:val="-9"/>
          <w:sz w:val="24"/>
        </w:rPr>
        <w:t> </w:t>
      </w:r>
      <w:r>
        <w:rPr>
          <w:sz w:val="24"/>
        </w:rPr>
        <w:t>elect</w:t>
      </w:r>
      <w:r>
        <w:rPr>
          <w:spacing w:val="-8"/>
          <w:sz w:val="24"/>
        </w:rPr>
        <w:t> </w:t>
      </w:r>
      <w:r>
        <w:rPr>
          <w:sz w:val="24"/>
        </w:rPr>
        <w:t>to</w:t>
      </w:r>
      <w:r>
        <w:rPr>
          <w:spacing w:val="-10"/>
          <w:sz w:val="24"/>
        </w:rPr>
        <w:t> </w:t>
      </w:r>
      <w:r>
        <w:rPr>
          <w:sz w:val="24"/>
        </w:rPr>
        <w:t>remove</w:t>
      </w:r>
      <w:r>
        <w:rPr>
          <w:spacing w:val="-10"/>
          <w:sz w:val="24"/>
        </w:rPr>
        <w:t> </w:t>
      </w:r>
      <w:r>
        <w:rPr>
          <w:sz w:val="24"/>
        </w:rPr>
        <w:t>bailed</w:t>
      </w:r>
      <w:r>
        <w:rPr>
          <w:spacing w:val="-9"/>
          <w:sz w:val="24"/>
        </w:rPr>
        <w:t> </w:t>
      </w:r>
      <w:r>
        <w:rPr>
          <w:sz w:val="24"/>
        </w:rPr>
        <w:t>product</w:t>
      </w:r>
      <w:r>
        <w:rPr>
          <w:spacing w:val="-8"/>
          <w:sz w:val="24"/>
        </w:rPr>
        <w:t> </w:t>
      </w:r>
      <w:r>
        <w:rPr>
          <w:sz w:val="24"/>
        </w:rPr>
        <w:t>from</w:t>
      </w:r>
      <w:r>
        <w:rPr>
          <w:spacing w:val="-9"/>
          <w:sz w:val="24"/>
        </w:rPr>
        <w:t> </w:t>
      </w:r>
      <w:r>
        <w:rPr>
          <w:sz w:val="24"/>
        </w:rPr>
        <w:t>a</w:t>
      </w:r>
      <w:r>
        <w:rPr>
          <w:spacing w:val="-10"/>
          <w:sz w:val="24"/>
        </w:rPr>
        <w:t> </w:t>
      </w:r>
      <w:r>
        <w:rPr>
          <w:sz w:val="24"/>
        </w:rPr>
        <w:t>PLCB</w:t>
      </w:r>
      <w:r>
        <w:rPr>
          <w:spacing w:val="-8"/>
          <w:sz w:val="24"/>
        </w:rPr>
        <w:t> </w:t>
      </w:r>
      <w:r>
        <w:rPr>
          <w:sz w:val="24"/>
        </w:rPr>
        <w:t>DC,</w:t>
      </w:r>
      <w:r>
        <w:rPr>
          <w:spacing w:val="-11"/>
          <w:sz w:val="24"/>
        </w:rPr>
        <w:t> </w:t>
      </w:r>
      <w:r>
        <w:rPr>
          <w:sz w:val="24"/>
        </w:rPr>
        <w:t>the</w:t>
      </w:r>
      <w:r>
        <w:rPr>
          <w:spacing w:val="-10"/>
          <w:sz w:val="24"/>
        </w:rPr>
        <w:t> </w:t>
      </w:r>
      <w:r>
        <w:rPr>
          <w:sz w:val="24"/>
        </w:rPr>
        <w:t>product</w:t>
      </w:r>
      <w:r>
        <w:rPr>
          <w:spacing w:val="-9"/>
          <w:sz w:val="24"/>
        </w:rPr>
        <w:t> </w:t>
      </w:r>
      <w:r>
        <w:rPr>
          <w:sz w:val="24"/>
        </w:rPr>
        <w:t>move</w:t>
      </w:r>
      <w:r>
        <w:rPr>
          <w:spacing w:val="-10"/>
          <w:sz w:val="24"/>
        </w:rPr>
        <w:t> </w:t>
      </w:r>
      <w:r>
        <w:rPr>
          <w:sz w:val="24"/>
        </w:rPr>
        <w:t>will be handled as a “Return to Vendor.” The Vendor will arrange and pay for the freight carriers and bear all other costs for the return of product. PLCB DC personnel will load the freight carriers with the Vendor’s product; the Vendor will be charged a handling fee for this</w:t>
      </w:r>
      <w:r>
        <w:rPr>
          <w:spacing w:val="-2"/>
          <w:sz w:val="24"/>
        </w:rPr>
        <w:t> </w:t>
      </w:r>
      <w:r>
        <w:rPr>
          <w:sz w:val="24"/>
        </w:rPr>
        <w:t>service.</w:t>
      </w:r>
    </w:p>
    <w:p>
      <w:pPr>
        <w:pStyle w:val="BodyText"/>
        <w:spacing w:before="5"/>
        <w:rPr>
          <w:sz w:val="27"/>
        </w:rPr>
      </w:pPr>
    </w:p>
    <w:p>
      <w:pPr>
        <w:pStyle w:val="BodyText"/>
        <w:spacing w:line="247" w:lineRule="auto"/>
        <w:ind w:left="1029" w:right="525" w:hanging="10"/>
        <w:jc w:val="both"/>
      </w:pPr>
      <w:r>
        <w:rPr/>
        <w:t>(See Appendix D). If the product is being moved from one PLCB DC to another, the product shall be shipped to the receiving DC against an ASN, following the standard receiving procedure for bailed product. The PLCB reserves the right to assess a penalty against</w:t>
      </w:r>
      <w:r>
        <w:rPr>
          <w:spacing w:val="-14"/>
        </w:rPr>
        <w:t> </w:t>
      </w:r>
      <w:r>
        <w:rPr/>
        <w:t>the</w:t>
      </w:r>
      <w:r>
        <w:rPr>
          <w:spacing w:val="-14"/>
        </w:rPr>
        <w:t> </w:t>
      </w:r>
      <w:r>
        <w:rPr/>
        <w:t>Vendor</w:t>
      </w:r>
      <w:r>
        <w:rPr>
          <w:spacing w:val="-14"/>
        </w:rPr>
        <w:t> </w:t>
      </w:r>
      <w:r>
        <w:rPr/>
        <w:t>if,</w:t>
      </w:r>
      <w:r>
        <w:rPr>
          <w:spacing w:val="-13"/>
        </w:rPr>
        <w:t> </w:t>
      </w:r>
      <w:r>
        <w:rPr/>
        <w:t>in</w:t>
      </w:r>
      <w:r>
        <w:rPr>
          <w:spacing w:val="-13"/>
        </w:rPr>
        <w:t> </w:t>
      </w:r>
      <w:r>
        <w:rPr/>
        <w:t>the</w:t>
      </w:r>
      <w:r>
        <w:rPr>
          <w:spacing w:val="-14"/>
        </w:rPr>
        <w:t> </w:t>
      </w:r>
      <w:r>
        <w:rPr/>
        <w:t>PLCB’s</w:t>
      </w:r>
      <w:r>
        <w:rPr>
          <w:spacing w:val="-13"/>
        </w:rPr>
        <w:t> </w:t>
      </w:r>
      <w:r>
        <w:rPr/>
        <w:t>opinion,</w:t>
      </w:r>
      <w:r>
        <w:rPr>
          <w:spacing w:val="-16"/>
        </w:rPr>
        <w:t> </w:t>
      </w:r>
      <w:r>
        <w:rPr/>
        <w:t>the</w:t>
      </w:r>
      <w:r>
        <w:rPr>
          <w:spacing w:val="-14"/>
        </w:rPr>
        <w:t> </w:t>
      </w:r>
      <w:r>
        <w:rPr/>
        <w:t>Vendor</w:t>
      </w:r>
      <w:r>
        <w:rPr>
          <w:spacing w:val="-14"/>
        </w:rPr>
        <w:t> </w:t>
      </w:r>
      <w:r>
        <w:rPr/>
        <w:t>is</w:t>
      </w:r>
      <w:r>
        <w:rPr>
          <w:spacing w:val="-13"/>
        </w:rPr>
        <w:t> </w:t>
      </w:r>
      <w:r>
        <w:rPr/>
        <w:t>abusing</w:t>
      </w:r>
      <w:r>
        <w:rPr>
          <w:spacing w:val="-13"/>
        </w:rPr>
        <w:t> </w:t>
      </w:r>
      <w:r>
        <w:rPr/>
        <w:t>the</w:t>
      </w:r>
      <w:r>
        <w:rPr>
          <w:spacing w:val="-14"/>
        </w:rPr>
        <w:t> </w:t>
      </w:r>
      <w:r>
        <w:rPr/>
        <w:t>“Return</w:t>
      </w:r>
      <w:r>
        <w:rPr>
          <w:spacing w:val="-13"/>
        </w:rPr>
        <w:t> </w:t>
      </w:r>
      <w:r>
        <w:rPr/>
        <w:t>to</w:t>
      </w:r>
      <w:r>
        <w:rPr>
          <w:spacing w:val="-13"/>
        </w:rPr>
        <w:t> </w:t>
      </w:r>
      <w:r>
        <w:rPr/>
        <w:t>Vendor” process.</w:t>
      </w:r>
    </w:p>
    <w:p>
      <w:pPr>
        <w:pStyle w:val="BodyText"/>
        <w:spacing w:before="7"/>
        <w:rPr>
          <w:sz w:val="27"/>
        </w:rPr>
      </w:pPr>
    </w:p>
    <w:p>
      <w:pPr>
        <w:pStyle w:val="ListParagraph"/>
        <w:numPr>
          <w:ilvl w:val="0"/>
          <w:numId w:val="2"/>
        </w:numPr>
        <w:tabs>
          <w:tab w:pos="1020" w:val="left" w:leader="none"/>
        </w:tabs>
        <w:spacing w:line="244" w:lineRule="auto" w:before="0" w:after="0"/>
        <w:ind w:left="1020" w:right="526" w:hanging="720"/>
        <w:jc w:val="both"/>
        <w:rPr>
          <w:sz w:val="24"/>
        </w:rPr>
      </w:pPr>
      <w:r>
        <w:rPr>
          <w:sz w:val="24"/>
        </w:rPr>
        <w:t>The Vendor must give the PLCB two business days written notice in advance of the withdrawal of any bailed product, unless the withdrawal of product is for safety or health reasons, in which case the Vendor shall give the PLCB prompt notice regarding the reason(s) for such a withdrawal of</w:t>
      </w:r>
      <w:r>
        <w:rPr>
          <w:spacing w:val="-3"/>
          <w:sz w:val="24"/>
        </w:rPr>
        <w:t> </w:t>
      </w:r>
      <w:r>
        <w:rPr>
          <w:sz w:val="24"/>
        </w:rPr>
        <w:t>product.</w:t>
      </w:r>
    </w:p>
    <w:p>
      <w:pPr>
        <w:spacing w:after="0" w:line="244" w:lineRule="auto"/>
        <w:jc w:val="both"/>
        <w:rPr>
          <w:sz w:val="24"/>
        </w:rPr>
        <w:sectPr>
          <w:pgSz w:w="12240" w:h="15840"/>
          <w:pgMar w:header="0" w:footer="1006" w:top="1380" w:bottom="1200" w:left="1140" w:right="900"/>
        </w:sectPr>
      </w:pPr>
    </w:p>
    <w:p>
      <w:pPr>
        <w:pStyle w:val="ListParagraph"/>
        <w:numPr>
          <w:ilvl w:val="0"/>
          <w:numId w:val="2"/>
        </w:numPr>
        <w:tabs>
          <w:tab w:pos="1020" w:val="left" w:leader="none"/>
        </w:tabs>
        <w:spacing w:line="244" w:lineRule="auto" w:before="69" w:after="0"/>
        <w:ind w:left="1020" w:right="527" w:hanging="720"/>
        <w:jc w:val="both"/>
        <w:rPr>
          <w:sz w:val="24"/>
        </w:rPr>
      </w:pPr>
      <w:r>
        <w:rPr>
          <w:sz w:val="24"/>
        </w:rPr>
        <w:t>As set forth in the Standard Contract Terms and Conditions (Appendix E at paragraph 6), the PLCB reserves the right to either invoice the Vendor for any penalties incurred by the Vendor, or to deduct such penalties from payments remitted to the</w:t>
      </w:r>
      <w:r>
        <w:rPr>
          <w:spacing w:val="-7"/>
          <w:sz w:val="24"/>
        </w:rPr>
        <w:t> </w:t>
      </w:r>
      <w:r>
        <w:rPr>
          <w:sz w:val="24"/>
        </w:rPr>
        <w:t>Vendor.</w:t>
      </w:r>
    </w:p>
    <w:p>
      <w:pPr>
        <w:pStyle w:val="BodyText"/>
        <w:spacing w:before="1"/>
        <w:rPr>
          <w:sz w:val="27"/>
        </w:rPr>
      </w:pPr>
    </w:p>
    <w:p>
      <w:pPr>
        <w:pStyle w:val="ListParagraph"/>
        <w:numPr>
          <w:ilvl w:val="0"/>
          <w:numId w:val="2"/>
        </w:numPr>
        <w:tabs>
          <w:tab w:pos="1020" w:val="left" w:leader="none"/>
        </w:tabs>
        <w:spacing w:line="244" w:lineRule="auto" w:before="0" w:after="0"/>
        <w:ind w:left="1020" w:right="523" w:hanging="720"/>
        <w:jc w:val="both"/>
        <w:rPr>
          <w:sz w:val="24"/>
        </w:rPr>
      </w:pPr>
      <w:r>
        <w:rPr>
          <w:sz w:val="24"/>
        </w:rPr>
        <w:t>For purposes of penalty invoices only, any objection by the Vendor to the invoice issued or deduction made by the PLCB for assessed penalties must be submitted, in writing, to</w:t>
      </w:r>
      <w:r>
        <w:rPr>
          <w:sz w:val="24"/>
          <w:u w:val="single"/>
        </w:rPr>
        <w:t> </w:t>
      </w:r>
      <w:r>
        <w:rPr>
          <w:b/>
          <w:sz w:val="24"/>
          <w:u w:val="single"/>
        </w:rPr>
        <w:t>BOTH </w:t>
      </w:r>
      <w:r>
        <w:rPr>
          <w:sz w:val="24"/>
          <w:u w:val="single"/>
        </w:rPr>
        <w:t>of the following</w:t>
      </w:r>
      <w:r>
        <w:rPr>
          <w:spacing w:val="-6"/>
          <w:sz w:val="24"/>
          <w:u w:val="single"/>
        </w:rPr>
        <w:t> </w:t>
      </w:r>
      <w:r>
        <w:rPr>
          <w:sz w:val="24"/>
          <w:u w:val="single"/>
        </w:rPr>
        <w:t>addresses:</w:t>
      </w:r>
    </w:p>
    <w:p>
      <w:pPr>
        <w:pStyle w:val="BodyText"/>
        <w:spacing w:before="1"/>
        <w:rPr>
          <w:sz w:val="19"/>
        </w:rPr>
      </w:pPr>
    </w:p>
    <w:p>
      <w:pPr>
        <w:pStyle w:val="Heading2"/>
        <w:tabs>
          <w:tab w:pos="7010" w:val="left" w:leader="none"/>
        </w:tabs>
        <w:spacing w:before="90"/>
        <w:ind w:left="1761"/>
      </w:pPr>
      <w:r>
        <w:rPr/>
        <w:t>Office of</w:t>
      </w:r>
      <w:r>
        <w:rPr>
          <w:spacing w:val="-3"/>
        </w:rPr>
        <w:t> </w:t>
      </w:r>
      <w:r>
        <w:rPr/>
        <w:t>the</w:t>
      </w:r>
      <w:r>
        <w:rPr>
          <w:spacing w:val="-2"/>
        </w:rPr>
        <w:t> </w:t>
      </w:r>
      <w:r>
        <w:rPr/>
        <w:t>Comptroller</w:t>
        <w:tab/>
        <w:t>PLCB</w:t>
      </w:r>
    </w:p>
    <w:p>
      <w:pPr>
        <w:pStyle w:val="BodyText"/>
        <w:tabs>
          <w:tab w:pos="5495" w:val="left" w:leader="none"/>
        </w:tabs>
        <w:spacing w:before="27"/>
        <w:ind w:left="1886"/>
      </w:pPr>
      <w:r>
        <w:rPr/>
        <w:t>LCBS Accounting</w:t>
      </w:r>
      <w:r>
        <w:rPr>
          <w:spacing w:val="-2"/>
        </w:rPr>
        <w:t> </w:t>
      </w:r>
      <w:r>
        <w:rPr/>
        <w:t>–</w:t>
      </w:r>
      <w:r>
        <w:rPr>
          <w:spacing w:val="-1"/>
        </w:rPr>
        <w:t> </w:t>
      </w:r>
      <w:r>
        <w:rPr/>
        <w:t>AR</w:t>
        <w:tab/>
        <w:t>Director of Planning and</w:t>
      </w:r>
      <w:r>
        <w:rPr>
          <w:spacing w:val="-2"/>
        </w:rPr>
        <w:t> </w:t>
      </w:r>
      <w:r>
        <w:rPr/>
        <w:t>Procurement</w:t>
      </w:r>
    </w:p>
    <w:p>
      <w:pPr>
        <w:pStyle w:val="BodyText"/>
        <w:tabs>
          <w:tab w:pos="4619" w:val="left" w:leader="none"/>
        </w:tabs>
        <w:spacing w:line="247" w:lineRule="auto" w:before="6"/>
        <w:ind w:left="1495" w:right="573" w:hanging="72"/>
      </w:pPr>
      <w:r>
        <w:rPr/>
        <w:t>555 Walnut Street –</w:t>
      </w:r>
      <w:r>
        <w:rPr>
          <w:spacing w:val="-3"/>
        </w:rPr>
        <w:t> </w:t>
      </w:r>
      <w:r>
        <w:rPr/>
        <w:t>9</w:t>
      </w:r>
      <w:r>
        <w:rPr>
          <w:position w:val="9"/>
          <w:sz w:val="16"/>
        </w:rPr>
        <w:t>th</w:t>
      </w:r>
      <w:r>
        <w:rPr>
          <w:spacing w:val="20"/>
          <w:position w:val="9"/>
          <w:sz w:val="16"/>
        </w:rPr>
        <w:t> </w:t>
      </w:r>
      <w:r>
        <w:rPr/>
        <w:t>Floor</w:t>
        <w:tab/>
        <w:t>Room 301, Northwest Office Building Harrisburg, PA 17101-1925 Harrisburg, PA</w:t>
      </w:r>
      <w:r>
        <w:rPr>
          <w:spacing w:val="-25"/>
        </w:rPr>
        <w:t> </w:t>
      </w:r>
      <w:r>
        <w:rPr/>
        <w:t>17124</w:t>
      </w:r>
    </w:p>
    <w:p>
      <w:pPr>
        <w:pStyle w:val="BodyText"/>
        <w:spacing w:before="2"/>
        <w:rPr>
          <w:sz w:val="27"/>
        </w:rPr>
      </w:pPr>
    </w:p>
    <w:p>
      <w:pPr>
        <w:pStyle w:val="BodyText"/>
        <w:spacing w:line="247" w:lineRule="auto"/>
        <w:ind w:left="1029" w:right="523" w:hanging="10"/>
        <w:jc w:val="both"/>
      </w:pPr>
      <w:r>
        <w:rPr/>
        <w:t>Objections by the Vendor must be received by the PLCB Director of Planning and Procurement and by the Office of the Comptroller within twenty business days of the date of the invoice or deduction. A timely objection by the Vendor shall include evidence in support of its objection. Failure by the Vendor to submit a timely objection shall be considered the Vendor’s agreement to the propriety of the penalty.</w:t>
      </w:r>
    </w:p>
    <w:p>
      <w:pPr>
        <w:pStyle w:val="BodyText"/>
        <w:spacing w:before="4"/>
        <w:rPr>
          <w:sz w:val="27"/>
        </w:rPr>
      </w:pPr>
    </w:p>
    <w:p>
      <w:pPr>
        <w:pStyle w:val="ListParagraph"/>
        <w:numPr>
          <w:ilvl w:val="0"/>
          <w:numId w:val="2"/>
        </w:numPr>
        <w:tabs>
          <w:tab w:pos="1020" w:val="left" w:leader="none"/>
        </w:tabs>
        <w:spacing w:line="247" w:lineRule="auto" w:before="1" w:after="0"/>
        <w:ind w:left="1019" w:right="524" w:hanging="720"/>
        <w:jc w:val="both"/>
        <w:rPr>
          <w:sz w:val="24"/>
        </w:rPr>
      </w:pPr>
      <w:r>
        <w:rPr>
          <w:sz w:val="24"/>
        </w:rPr>
        <w:t>For purposes of penalty invoices only, in the event that the PLCB and the Vendor cannot reach</w:t>
      </w:r>
      <w:r>
        <w:rPr>
          <w:spacing w:val="-12"/>
          <w:sz w:val="24"/>
        </w:rPr>
        <w:t> </w:t>
      </w:r>
      <w:r>
        <w:rPr>
          <w:sz w:val="24"/>
        </w:rPr>
        <w:t>an</w:t>
      </w:r>
      <w:r>
        <w:rPr>
          <w:spacing w:val="-11"/>
          <w:sz w:val="24"/>
        </w:rPr>
        <w:t> </w:t>
      </w:r>
      <w:r>
        <w:rPr>
          <w:sz w:val="24"/>
        </w:rPr>
        <w:t>agreement</w:t>
      </w:r>
      <w:r>
        <w:rPr>
          <w:spacing w:val="-13"/>
          <w:sz w:val="24"/>
        </w:rPr>
        <w:t> </w:t>
      </w:r>
      <w:r>
        <w:rPr>
          <w:sz w:val="24"/>
        </w:rPr>
        <w:t>regarding</w:t>
      </w:r>
      <w:r>
        <w:rPr>
          <w:spacing w:val="-14"/>
          <w:sz w:val="24"/>
        </w:rPr>
        <w:t> </w:t>
      </w:r>
      <w:r>
        <w:rPr>
          <w:sz w:val="24"/>
        </w:rPr>
        <w:t>a</w:t>
      </w:r>
      <w:r>
        <w:rPr>
          <w:spacing w:val="-14"/>
          <w:sz w:val="24"/>
        </w:rPr>
        <w:t> </w:t>
      </w:r>
      <w:r>
        <w:rPr>
          <w:sz w:val="24"/>
        </w:rPr>
        <w:t>disputed</w:t>
      </w:r>
      <w:r>
        <w:rPr>
          <w:spacing w:val="-13"/>
          <w:sz w:val="24"/>
        </w:rPr>
        <w:t> </w:t>
      </w:r>
      <w:r>
        <w:rPr>
          <w:sz w:val="24"/>
        </w:rPr>
        <w:t>penalty,</w:t>
      </w:r>
      <w:r>
        <w:rPr>
          <w:spacing w:val="-13"/>
          <w:sz w:val="24"/>
        </w:rPr>
        <w:t> </w:t>
      </w:r>
      <w:r>
        <w:rPr>
          <w:sz w:val="24"/>
        </w:rPr>
        <w:t>the</w:t>
      </w:r>
      <w:r>
        <w:rPr>
          <w:spacing w:val="-15"/>
          <w:sz w:val="24"/>
        </w:rPr>
        <w:t> </w:t>
      </w:r>
      <w:r>
        <w:rPr>
          <w:sz w:val="24"/>
        </w:rPr>
        <w:t>Director</w:t>
      </w:r>
      <w:r>
        <w:rPr>
          <w:spacing w:val="-14"/>
          <w:sz w:val="24"/>
        </w:rPr>
        <w:t> </w:t>
      </w:r>
      <w:r>
        <w:rPr>
          <w:sz w:val="24"/>
        </w:rPr>
        <w:t>of</w:t>
      </w:r>
      <w:r>
        <w:rPr>
          <w:spacing w:val="-12"/>
          <w:sz w:val="24"/>
        </w:rPr>
        <w:t> </w:t>
      </w:r>
      <w:r>
        <w:rPr>
          <w:sz w:val="24"/>
        </w:rPr>
        <w:t>Planning</w:t>
      </w:r>
      <w:r>
        <w:rPr>
          <w:spacing w:val="-14"/>
          <w:sz w:val="24"/>
        </w:rPr>
        <w:t> </w:t>
      </w:r>
      <w:r>
        <w:rPr>
          <w:sz w:val="24"/>
        </w:rPr>
        <w:t>and</w:t>
      </w:r>
      <w:r>
        <w:rPr>
          <w:spacing w:val="-13"/>
          <w:sz w:val="24"/>
        </w:rPr>
        <w:t> </w:t>
      </w:r>
      <w:r>
        <w:rPr>
          <w:sz w:val="24"/>
        </w:rPr>
        <w:t>Procurement shall send his/her written determination to the Vendor. The decision of the Director of Planning and Procurement shall be final and conclusive unless, within thirty days after receipt of such written determination, the Vendor files a claim with the Commonwealth Board of Claims. Pending a final judicial resolution of the controversy, the Vendor shall proceed diligently with the performance of the Agreement in a manner consistent with the interpretation</w:t>
      </w:r>
      <w:r>
        <w:rPr>
          <w:spacing w:val="-12"/>
          <w:sz w:val="24"/>
        </w:rPr>
        <w:t> </w:t>
      </w:r>
      <w:r>
        <w:rPr>
          <w:sz w:val="24"/>
        </w:rPr>
        <w:t>of</w:t>
      </w:r>
      <w:r>
        <w:rPr>
          <w:spacing w:val="-9"/>
          <w:sz w:val="24"/>
        </w:rPr>
        <w:t> </w:t>
      </w:r>
      <w:r>
        <w:rPr>
          <w:sz w:val="24"/>
        </w:rPr>
        <w:t>the</w:t>
      </w:r>
      <w:r>
        <w:rPr>
          <w:spacing w:val="-12"/>
          <w:sz w:val="24"/>
        </w:rPr>
        <w:t> </w:t>
      </w:r>
      <w:r>
        <w:rPr>
          <w:sz w:val="24"/>
        </w:rPr>
        <w:t>Director</w:t>
      </w:r>
      <w:r>
        <w:rPr>
          <w:spacing w:val="-12"/>
          <w:sz w:val="24"/>
        </w:rPr>
        <w:t> </w:t>
      </w:r>
      <w:r>
        <w:rPr>
          <w:sz w:val="24"/>
        </w:rPr>
        <w:t>of</w:t>
      </w:r>
      <w:r>
        <w:rPr>
          <w:spacing w:val="-12"/>
          <w:sz w:val="24"/>
        </w:rPr>
        <w:t> </w:t>
      </w:r>
      <w:r>
        <w:rPr>
          <w:sz w:val="24"/>
        </w:rPr>
        <w:t>Planning</w:t>
      </w:r>
      <w:r>
        <w:rPr>
          <w:spacing w:val="-9"/>
          <w:sz w:val="24"/>
        </w:rPr>
        <w:t> </w:t>
      </w:r>
      <w:r>
        <w:rPr>
          <w:sz w:val="24"/>
        </w:rPr>
        <w:t>and</w:t>
      </w:r>
      <w:r>
        <w:rPr>
          <w:spacing w:val="-11"/>
          <w:sz w:val="24"/>
        </w:rPr>
        <w:t> </w:t>
      </w:r>
      <w:r>
        <w:rPr>
          <w:sz w:val="24"/>
        </w:rPr>
        <w:t>Procurement</w:t>
      </w:r>
      <w:r>
        <w:rPr>
          <w:spacing w:val="-11"/>
          <w:sz w:val="24"/>
        </w:rPr>
        <w:t> </w:t>
      </w:r>
      <w:r>
        <w:rPr>
          <w:sz w:val="24"/>
        </w:rPr>
        <w:t>and</w:t>
      </w:r>
      <w:r>
        <w:rPr>
          <w:spacing w:val="-10"/>
          <w:sz w:val="24"/>
        </w:rPr>
        <w:t> </w:t>
      </w:r>
      <w:r>
        <w:rPr>
          <w:sz w:val="24"/>
        </w:rPr>
        <w:t>the</w:t>
      </w:r>
      <w:r>
        <w:rPr>
          <w:spacing w:val="-12"/>
          <w:sz w:val="24"/>
        </w:rPr>
        <w:t> </w:t>
      </w:r>
      <w:r>
        <w:rPr>
          <w:sz w:val="24"/>
        </w:rPr>
        <w:t>PLCB</w:t>
      </w:r>
      <w:r>
        <w:rPr>
          <w:spacing w:val="-10"/>
          <w:sz w:val="24"/>
        </w:rPr>
        <w:t> </w:t>
      </w:r>
      <w:r>
        <w:rPr>
          <w:sz w:val="24"/>
        </w:rPr>
        <w:t>shall</w:t>
      </w:r>
      <w:r>
        <w:rPr>
          <w:spacing w:val="-11"/>
          <w:sz w:val="24"/>
        </w:rPr>
        <w:t> </w:t>
      </w:r>
      <w:r>
        <w:rPr>
          <w:sz w:val="24"/>
        </w:rPr>
        <w:t>compensate the Vendor pursuant to the terms of the Agreement. All other contract controversies are subject to Standard Contract Terms and Conditions (Appendix E at paragraph</w:t>
      </w:r>
      <w:r>
        <w:rPr>
          <w:spacing w:val="-8"/>
          <w:sz w:val="24"/>
        </w:rPr>
        <w:t> </w:t>
      </w:r>
      <w:r>
        <w:rPr>
          <w:sz w:val="24"/>
        </w:rPr>
        <w:t>18).</w:t>
      </w:r>
    </w:p>
    <w:p>
      <w:pPr>
        <w:pStyle w:val="BodyText"/>
        <w:spacing w:before="10"/>
        <w:rPr>
          <w:sz w:val="26"/>
        </w:rPr>
      </w:pPr>
    </w:p>
    <w:p>
      <w:pPr>
        <w:pStyle w:val="ListParagraph"/>
        <w:numPr>
          <w:ilvl w:val="0"/>
          <w:numId w:val="2"/>
        </w:numPr>
        <w:tabs>
          <w:tab w:pos="1020" w:val="left" w:leader="none"/>
        </w:tabs>
        <w:spacing w:line="244" w:lineRule="auto" w:before="0" w:after="0"/>
        <w:ind w:left="1020" w:right="526" w:hanging="720"/>
        <w:jc w:val="both"/>
        <w:rPr>
          <w:sz w:val="24"/>
        </w:rPr>
      </w:pPr>
      <w:r>
        <w:rPr>
          <w:sz w:val="24"/>
        </w:rPr>
        <w:t>The Vendor agrees to secure any applicable state and/or federal basic permits and federal special occupational tax stamps that may be needed before any alcoholic beverages are shipped into the DC under the Bailment Warehouse</w:t>
      </w:r>
      <w:r>
        <w:rPr>
          <w:spacing w:val="-6"/>
          <w:sz w:val="24"/>
        </w:rPr>
        <w:t> </w:t>
      </w:r>
      <w:r>
        <w:rPr>
          <w:sz w:val="24"/>
        </w:rPr>
        <w:t>Program.</w:t>
      </w:r>
    </w:p>
    <w:p>
      <w:pPr>
        <w:pStyle w:val="BodyText"/>
        <w:spacing w:before="3"/>
        <w:rPr>
          <w:sz w:val="27"/>
        </w:rPr>
      </w:pPr>
    </w:p>
    <w:p>
      <w:pPr>
        <w:pStyle w:val="ListParagraph"/>
        <w:numPr>
          <w:ilvl w:val="0"/>
          <w:numId w:val="2"/>
        </w:numPr>
        <w:tabs>
          <w:tab w:pos="1020" w:val="left" w:leader="none"/>
        </w:tabs>
        <w:spacing w:line="244" w:lineRule="auto" w:before="0" w:after="0"/>
        <w:ind w:left="1020" w:right="524" w:hanging="720"/>
        <w:jc w:val="both"/>
        <w:rPr>
          <w:sz w:val="24"/>
        </w:rPr>
      </w:pPr>
      <w:r>
        <w:rPr>
          <w:sz w:val="24"/>
        </w:rPr>
        <w:t>In the event that the ownership of the product changes from the Vendor to another outside entity</w:t>
      </w:r>
      <w:r>
        <w:rPr>
          <w:spacing w:val="-12"/>
          <w:sz w:val="24"/>
        </w:rPr>
        <w:t> </w:t>
      </w:r>
      <w:r>
        <w:rPr>
          <w:sz w:val="24"/>
        </w:rPr>
        <w:t>(i.e.,</w:t>
      </w:r>
      <w:r>
        <w:rPr>
          <w:spacing w:val="-11"/>
          <w:sz w:val="24"/>
        </w:rPr>
        <w:t> </w:t>
      </w:r>
      <w:r>
        <w:rPr>
          <w:sz w:val="24"/>
        </w:rPr>
        <w:t>another</w:t>
      </w:r>
      <w:r>
        <w:rPr>
          <w:spacing w:val="-12"/>
          <w:sz w:val="24"/>
        </w:rPr>
        <w:t> </w:t>
      </w:r>
      <w:r>
        <w:rPr>
          <w:sz w:val="24"/>
        </w:rPr>
        <w:t>potential</w:t>
      </w:r>
      <w:r>
        <w:rPr>
          <w:spacing w:val="-12"/>
          <w:sz w:val="24"/>
        </w:rPr>
        <w:t> </w:t>
      </w:r>
      <w:r>
        <w:rPr>
          <w:sz w:val="24"/>
        </w:rPr>
        <w:t>Vendor),</w:t>
      </w:r>
      <w:r>
        <w:rPr>
          <w:spacing w:val="-11"/>
          <w:sz w:val="24"/>
        </w:rPr>
        <w:t> </w:t>
      </w:r>
      <w:r>
        <w:rPr>
          <w:sz w:val="24"/>
        </w:rPr>
        <w:t>the</w:t>
      </w:r>
      <w:r>
        <w:rPr>
          <w:spacing w:val="-12"/>
          <w:sz w:val="24"/>
        </w:rPr>
        <w:t> </w:t>
      </w:r>
      <w:r>
        <w:rPr>
          <w:sz w:val="24"/>
        </w:rPr>
        <w:t>PLCB</w:t>
      </w:r>
      <w:r>
        <w:rPr>
          <w:spacing w:val="-11"/>
          <w:sz w:val="24"/>
        </w:rPr>
        <w:t> </w:t>
      </w:r>
      <w:r>
        <w:rPr>
          <w:sz w:val="24"/>
        </w:rPr>
        <w:t>will</w:t>
      </w:r>
      <w:r>
        <w:rPr>
          <w:spacing w:val="-11"/>
          <w:sz w:val="24"/>
        </w:rPr>
        <w:t> </w:t>
      </w:r>
      <w:r>
        <w:rPr>
          <w:sz w:val="24"/>
        </w:rPr>
        <w:t>assume</w:t>
      </w:r>
      <w:r>
        <w:rPr>
          <w:spacing w:val="-12"/>
          <w:sz w:val="24"/>
        </w:rPr>
        <w:t> </w:t>
      </w:r>
      <w:r>
        <w:rPr>
          <w:sz w:val="24"/>
        </w:rPr>
        <w:t>that</w:t>
      </w:r>
      <w:r>
        <w:rPr>
          <w:spacing w:val="-12"/>
          <w:sz w:val="24"/>
        </w:rPr>
        <w:t> </w:t>
      </w:r>
      <w:r>
        <w:rPr>
          <w:sz w:val="24"/>
        </w:rPr>
        <w:t>the</w:t>
      </w:r>
      <w:r>
        <w:rPr>
          <w:spacing w:val="-12"/>
          <w:sz w:val="24"/>
        </w:rPr>
        <w:t> </w:t>
      </w:r>
      <w:r>
        <w:rPr>
          <w:sz w:val="24"/>
        </w:rPr>
        <w:t>original</w:t>
      </w:r>
      <w:r>
        <w:rPr>
          <w:spacing w:val="-11"/>
          <w:sz w:val="24"/>
        </w:rPr>
        <w:t> </w:t>
      </w:r>
      <w:r>
        <w:rPr>
          <w:sz w:val="24"/>
        </w:rPr>
        <w:t>Vendor</w:t>
      </w:r>
      <w:r>
        <w:rPr>
          <w:spacing w:val="-13"/>
          <w:sz w:val="24"/>
        </w:rPr>
        <w:t> </w:t>
      </w:r>
      <w:r>
        <w:rPr>
          <w:sz w:val="24"/>
        </w:rPr>
        <w:t>owns the product until the PLCB has been informed in writing by the original Vendor that the ownership of the product has changed. See also, Standard Contract Terms and Conditions (Appendix E at paragraph</w:t>
      </w:r>
      <w:r>
        <w:rPr>
          <w:spacing w:val="-2"/>
          <w:sz w:val="24"/>
        </w:rPr>
        <w:t> </w:t>
      </w:r>
      <w:r>
        <w:rPr>
          <w:sz w:val="24"/>
        </w:rPr>
        <w:t>19).</w:t>
      </w:r>
    </w:p>
    <w:p>
      <w:pPr>
        <w:spacing w:after="0" w:line="244" w:lineRule="auto"/>
        <w:jc w:val="both"/>
        <w:rPr>
          <w:sz w:val="24"/>
        </w:rPr>
        <w:sectPr>
          <w:pgSz w:w="12240" w:h="15840"/>
          <w:pgMar w:header="0" w:footer="1006" w:top="1380" w:bottom="1200" w:left="1140" w:right="900"/>
        </w:sectPr>
      </w:pPr>
    </w:p>
    <w:p>
      <w:pPr>
        <w:pStyle w:val="BodyText"/>
        <w:spacing w:before="4"/>
        <w:rPr>
          <w:sz w:val="18"/>
        </w:rPr>
      </w:pPr>
    </w:p>
    <w:p>
      <w:pPr>
        <w:tabs>
          <w:tab w:pos="6053" w:val="left" w:leader="none"/>
        </w:tabs>
        <w:spacing w:line="20" w:lineRule="exact"/>
        <w:ind w:left="293" w:right="0" w:firstLine="0"/>
        <w:rPr>
          <w:sz w:val="2"/>
        </w:rPr>
      </w:pPr>
      <w:r>
        <w:rPr>
          <w:sz w:val="2"/>
        </w:rPr>
        <w:pict>
          <v:group style="width:180.05pt;height:.7pt;mso-position-horizontal-relative:char;mso-position-vertical-relative:line" coordorigin="0,0" coordsize="3601,14">
            <v:line style="position:absolute" from="0,7" to="3600,7" stroked="true" strokeweight=".7pt" strokecolor="#000000">
              <v:stroke dashstyle="solid"/>
            </v:line>
          </v:group>
        </w:pict>
      </w:r>
      <w:r>
        <w:rPr>
          <w:sz w:val="2"/>
        </w:rPr>
      </w:r>
      <w:r>
        <w:rPr>
          <w:sz w:val="2"/>
        </w:rPr>
        <w:tab/>
      </w:r>
      <w:r>
        <w:rPr>
          <w:sz w:val="2"/>
        </w:rPr>
        <w:pict>
          <v:group style="width:180.05pt;height:.7pt;mso-position-horizontal-relative:char;mso-position-vertical-relative:line" coordorigin="0,0" coordsize="3601,14">
            <v:line style="position:absolute" from="0,7" to="3600,7" stroked="true" strokeweight=".7pt" strokecolor="#000000">
              <v:stroke dashstyle="solid"/>
            </v:line>
          </v:group>
        </w:pict>
      </w:r>
      <w:r>
        <w:rPr>
          <w:sz w:val="2"/>
        </w:rPr>
      </w:r>
    </w:p>
    <w:p>
      <w:pPr>
        <w:pStyle w:val="BodyText"/>
        <w:tabs>
          <w:tab w:pos="6194" w:val="left" w:leader="none"/>
        </w:tabs>
        <w:spacing w:before="41"/>
        <w:ind w:left="288"/>
      </w:pPr>
      <w:r>
        <w:rPr/>
        <w:t>Vendor</w:t>
      </w:r>
      <w:r>
        <w:rPr>
          <w:spacing w:val="-3"/>
        </w:rPr>
        <w:t> </w:t>
      </w:r>
      <w:r>
        <w:rPr/>
        <w:t>Signature</w:t>
        <w:tab/>
        <w:t>PLCB Signature</w:t>
      </w:r>
    </w:p>
    <w:p>
      <w:pPr>
        <w:pStyle w:val="BodyText"/>
        <w:spacing w:before="9"/>
      </w:pPr>
    </w:p>
    <w:tbl>
      <w:tblPr>
        <w:tblW w:w="0" w:type="auto"/>
        <w:jc w:val="left"/>
        <w:tblInd w:w="3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00"/>
        <w:gridCol w:w="2160"/>
        <w:gridCol w:w="3601"/>
      </w:tblGrid>
      <w:tr>
        <w:trPr>
          <w:trHeight w:val="522" w:hRule="atLeast"/>
        </w:trPr>
        <w:tc>
          <w:tcPr>
            <w:tcW w:w="3600" w:type="dxa"/>
            <w:tcBorders>
              <w:top w:val="single" w:sz="6" w:space="0" w:color="000000"/>
            </w:tcBorders>
          </w:tcPr>
          <w:p>
            <w:pPr>
              <w:pStyle w:val="TableParagraph"/>
              <w:spacing w:before="47"/>
              <w:rPr>
                <w:sz w:val="24"/>
              </w:rPr>
            </w:pPr>
            <w:r>
              <w:rPr>
                <w:sz w:val="24"/>
              </w:rPr>
              <w:t>Date</w:t>
            </w:r>
          </w:p>
        </w:tc>
        <w:tc>
          <w:tcPr>
            <w:tcW w:w="2160" w:type="dxa"/>
          </w:tcPr>
          <w:p>
            <w:pPr>
              <w:pStyle w:val="TableParagraph"/>
              <w:spacing w:before="0"/>
              <w:rPr>
                <w:sz w:val="22"/>
              </w:rPr>
            </w:pPr>
          </w:p>
        </w:tc>
        <w:tc>
          <w:tcPr>
            <w:tcW w:w="3601" w:type="dxa"/>
            <w:tcBorders>
              <w:top w:val="single" w:sz="6" w:space="0" w:color="000000"/>
            </w:tcBorders>
          </w:tcPr>
          <w:p>
            <w:pPr>
              <w:pStyle w:val="TableParagraph"/>
              <w:spacing w:before="47"/>
              <w:rPr>
                <w:sz w:val="24"/>
              </w:rPr>
            </w:pPr>
            <w:r>
              <w:rPr>
                <w:sz w:val="24"/>
              </w:rPr>
              <w:t>Date</w:t>
            </w:r>
          </w:p>
        </w:tc>
      </w:tr>
      <w:tr>
        <w:trPr>
          <w:trHeight w:val="457" w:hRule="atLeast"/>
        </w:trPr>
        <w:tc>
          <w:tcPr>
            <w:tcW w:w="3600" w:type="dxa"/>
            <w:tcBorders>
              <w:bottom w:val="single" w:sz="6" w:space="0" w:color="000000"/>
            </w:tcBorders>
          </w:tcPr>
          <w:p>
            <w:pPr>
              <w:pStyle w:val="TableParagraph"/>
              <w:spacing w:before="0"/>
              <w:rPr>
                <w:sz w:val="22"/>
              </w:rPr>
            </w:pPr>
          </w:p>
        </w:tc>
        <w:tc>
          <w:tcPr>
            <w:tcW w:w="2160" w:type="dxa"/>
          </w:tcPr>
          <w:p>
            <w:pPr>
              <w:pStyle w:val="TableParagraph"/>
              <w:spacing w:before="0"/>
              <w:rPr>
                <w:sz w:val="22"/>
              </w:rPr>
            </w:pPr>
          </w:p>
        </w:tc>
        <w:tc>
          <w:tcPr>
            <w:tcW w:w="3601" w:type="dxa"/>
          </w:tcPr>
          <w:p>
            <w:pPr>
              <w:pStyle w:val="TableParagraph"/>
              <w:tabs>
                <w:tab w:pos="3600" w:val="left" w:leader="none"/>
              </w:tabs>
              <w:spacing w:line="248" w:lineRule="exact" w:before="189"/>
              <w:rPr>
                <w:sz w:val="24"/>
              </w:rPr>
            </w:pPr>
            <w:r>
              <w:rPr>
                <w:sz w:val="24"/>
                <w:u w:val="single"/>
              </w:rPr>
              <w:t>(717)</w:t>
            </w:r>
            <w:r>
              <w:rPr>
                <w:spacing w:val="-3"/>
                <w:sz w:val="24"/>
                <w:u w:val="single"/>
              </w:rPr>
              <w:t> </w:t>
            </w:r>
            <w:r>
              <w:rPr>
                <w:sz w:val="24"/>
                <w:u w:val="single"/>
              </w:rPr>
              <w:t>772-3714</w:t>
              <w:tab/>
            </w:r>
          </w:p>
        </w:tc>
      </w:tr>
      <w:tr>
        <w:trPr>
          <w:trHeight w:val="290" w:hRule="atLeast"/>
        </w:trPr>
        <w:tc>
          <w:tcPr>
            <w:tcW w:w="3600" w:type="dxa"/>
            <w:tcBorders>
              <w:top w:val="single" w:sz="6" w:space="0" w:color="000000"/>
            </w:tcBorders>
          </w:tcPr>
          <w:p>
            <w:pPr>
              <w:pStyle w:val="TableParagraph"/>
              <w:spacing w:line="256" w:lineRule="exact" w:before="21"/>
              <w:rPr>
                <w:sz w:val="24"/>
              </w:rPr>
            </w:pPr>
            <w:r>
              <w:rPr>
                <w:sz w:val="24"/>
              </w:rPr>
              <w:t>Vendor FAX Number</w:t>
            </w:r>
          </w:p>
        </w:tc>
        <w:tc>
          <w:tcPr>
            <w:tcW w:w="2160" w:type="dxa"/>
          </w:tcPr>
          <w:p>
            <w:pPr>
              <w:pStyle w:val="TableParagraph"/>
              <w:spacing w:before="0"/>
              <w:rPr>
                <w:sz w:val="20"/>
              </w:rPr>
            </w:pPr>
          </w:p>
        </w:tc>
        <w:tc>
          <w:tcPr>
            <w:tcW w:w="3601" w:type="dxa"/>
          </w:tcPr>
          <w:p>
            <w:pPr>
              <w:pStyle w:val="TableParagraph"/>
              <w:spacing w:line="256" w:lineRule="exact" w:before="14"/>
              <w:rPr>
                <w:sz w:val="24"/>
              </w:rPr>
            </w:pPr>
            <w:r>
              <w:rPr>
                <w:sz w:val="24"/>
              </w:rPr>
              <w:t>FAX Location</w:t>
            </w:r>
          </w:p>
        </w:tc>
      </w:tr>
    </w:tbl>
    <w:p>
      <w:pPr>
        <w:spacing w:after="0" w:line="256" w:lineRule="exact"/>
        <w:rPr>
          <w:sz w:val="24"/>
        </w:rPr>
        <w:sectPr>
          <w:pgSz w:w="12240" w:h="15840"/>
          <w:pgMar w:header="0" w:footer="1006" w:top="1500" w:bottom="1200" w:left="1140" w:right="900"/>
        </w:sectPr>
      </w:pPr>
    </w:p>
    <w:p>
      <w:pPr>
        <w:pStyle w:val="Heading2"/>
        <w:spacing w:line="472" w:lineRule="auto" w:before="71"/>
        <w:ind w:left="3540" w:right="3770" w:hanging="9"/>
        <w:jc w:val="center"/>
      </w:pPr>
      <w:r>
        <w:rPr/>
        <w:t>APPENDIX A BAILMENT AUTHORIZATION FORM</w:t>
      </w:r>
    </w:p>
    <w:p>
      <w:pPr>
        <w:pStyle w:val="ListParagraph"/>
        <w:numPr>
          <w:ilvl w:val="0"/>
          <w:numId w:val="3"/>
        </w:numPr>
        <w:tabs>
          <w:tab w:pos="528" w:val="left" w:leader="none"/>
          <w:tab w:pos="9186" w:val="left" w:leader="none"/>
          <w:tab w:pos="9545" w:val="left" w:leader="none"/>
        </w:tabs>
        <w:spacing w:line="379" w:lineRule="auto" w:before="43" w:after="0"/>
        <w:ind w:left="540" w:right="652" w:hanging="252"/>
        <w:jc w:val="left"/>
        <w:rPr>
          <w:sz w:val="24"/>
        </w:rPr>
      </w:pPr>
      <w:r>
        <w:rPr/>
        <w:pict>
          <v:line style="position:absolute;mso-position-horizontal-relative:page;mso-position-vertical-relative:paragraph;z-index:-252521472" from="167.494003pt,61.079094pt" to="530.527003pt,61.079094pt" stroked="true" strokeweight=".718pt" strokecolor="#000000">
            <v:stroke dashstyle="solid"/>
            <w10:wrap type="none"/>
          </v:line>
        </w:pict>
      </w:r>
      <w:r>
        <w:rPr>
          <w:sz w:val="24"/>
        </w:rPr>
        <w:t>Vendor’s</w:t>
      </w:r>
      <w:r>
        <w:rPr>
          <w:spacing w:val="-2"/>
          <w:sz w:val="24"/>
        </w:rPr>
        <w:t> </w:t>
      </w:r>
      <w:r>
        <w:rPr>
          <w:sz w:val="24"/>
        </w:rPr>
        <w:t>Company</w:t>
      </w:r>
      <w:r>
        <w:rPr>
          <w:spacing w:val="-1"/>
          <w:sz w:val="24"/>
        </w:rPr>
        <w:t> </w:t>
      </w:r>
      <w:r>
        <w:rPr>
          <w:sz w:val="24"/>
        </w:rPr>
        <w:t>name:</w:t>
      </w:r>
      <w:r>
        <w:rPr>
          <w:sz w:val="24"/>
          <w:u w:val="single"/>
        </w:rPr>
        <w:t> </w:t>
        <w:tab/>
      </w:r>
      <w:r>
        <w:rPr>
          <w:sz w:val="24"/>
        </w:rPr>
        <w:t> Street:</w:t>
      </w:r>
      <w:r>
        <w:rPr>
          <w:sz w:val="24"/>
          <w:u w:val="single"/>
        </w:rPr>
        <w:tab/>
        <w:tab/>
      </w:r>
      <w:r>
        <w:rPr>
          <w:sz w:val="24"/>
        </w:rPr>
        <w:t> City, State,</w:t>
      </w:r>
      <w:r>
        <w:rPr>
          <w:spacing w:val="-1"/>
          <w:sz w:val="24"/>
        </w:rPr>
        <w:t> </w:t>
      </w:r>
      <w:r>
        <w:rPr>
          <w:sz w:val="24"/>
        </w:rPr>
        <w:t>Zip:</w:t>
      </w:r>
    </w:p>
    <w:p>
      <w:pPr>
        <w:tabs>
          <w:tab w:pos="5149" w:val="left" w:leader="none"/>
          <w:tab w:pos="9470" w:val="left" w:leader="none"/>
        </w:tabs>
        <w:spacing w:before="64"/>
        <w:ind w:left="540" w:right="0" w:firstLine="0"/>
        <w:jc w:val="both"/>
        <w:rPr>
          <w:sz w:val="28"/>
        </w:rPr>
      </w:pPr>
      <w:r>
        <w:rPr>
          <w:sz w:val="24"/>
        </w:rPr>
        <w:t>Telephone:</w:t>
      </w:r>
      <w:r>
        <w:rPr>
          <w:sz w:val="24"/>
          <w:u w:val="single"/>
        </w:rPr>
        <w:t> </w:t>
        <w:tab/>
      </w:r>
      <w:r>
        <w:rPr>
          <w:position w:val="5"/>
          <w:sz w:val="28"/>
        </w:rPr>
        <w:t>E-mail:</w:t>
      </w:r>
      <w:r>
        <w:rPr>
          <w:spacing w:val="-4"/>
          <w:position w:val="5"/>
          <w:sz w:val="28"/>
        </w:rPr>
        <w:t> </w:t>
      </w:r>
      <w:r>
        <w:rPr>
          <w:w w:val="100"/>
          <w:position w:val="5"/>
          <w:sz w:val="28"/>
          <w:u w:val="single"/>
        </w:rPr>
        <w:t> </w:t>
      </w:r>
      <w:r>
        <w:rPr>
          <w:position w:val="5"/>
          <w:sz w:val="28"/>
          <w:u w:val="single"/>
        </w:rPr>
        <w:tab/>
      </w:r>
    </w:p>
    <w:p>
      <w:pPr>
        <w:pStyle w:val="BodyText"/>
        <w:spacing w:before="160"/>
        <w:ind w:left="559" w:right="532" w:hanging="15"/>
        <w:jc w:val="both"/>
      </w:pPr>
      <w:r>
        <w:rPr/>
        <w:t>The Vendor designates the following representative(s) to authorize the PLCB to purchase products from those maintained in the PLCB’s Distribution Centers (“DC”s). Products</w:t>
      </w:r>
      <w:r>
        <w:rPr>
          <w:spacing w:val="-43"/>
        </w:rPr>
        <w:t> </w:t>
      </w:r>
      <w:r>
        <w:rPr/>
        <w:t>shipped to the DCs by the Vendor are consigned to the Vendor’s representative(s) for the purpose of making</w:t>
      </w:r>
      <w:r>
        <w:rPr>
          <w:spacing w:val="-10"/>
        </w:rPr>
        <w:t> </w:t>
      </w:r>
      <w:r>
        <w:rPr/>
        <w:t>sales</w:t>
      </w:r>
      <w:r>
        <w:rPr>
          <w:spacing w:val="-8"/>
        </w:rPr>
        <w:t> </w:t>
      </w:r>
      <w:r>
        <w:rPr/>
        <w:t>at</w:t>
      </w:r>
      <w:r>
        <w:rPr>
          <w:spacing w:val="-8"/>
        </w:rPr>
        <w:t> </w:t>
      </w:r>
      <w:r>
        <w:rPr/>
        <w:t>the</w:t>
      </w:r>
      <w:r>
        <w:rPr>
          <w:spacing w:val="-10"/>
        </w:rPr>
        <w:t> </w:t>
      </w:r>
      <w:r>
        <w:rPr/>
        <w:t>DCs</w:t>
      </w:r>
      <w:r>
        <w:rPr>
          <w:spacing w:val="-8"/>
        </w:rPr>
        <w:t> </w:t>
      </w:r>
      <w:r>
        <w:rPr/>
        <w:t>to</w:t>
      </w:r>
      <w:r>
        <w:rPr>
          <w:spacing w:val="-9"/>
        </w:rPr>
        <w:t> </w:t>
      </w:r>
      <w:r>
        <w:rPr/>
        <w:t>the</w:t>
      </w:r>
      <w:r>
        <w:rPr>
          <w:spacing w:val="-10"/>
        </w:rPr>
        <w:t> </w:t>
      </w:r>
      <w:r>
        <w:rPr/>
        <w:t>PLCB.</w:t>
      </w:r>
      <w:r>
        <w:rPr>
          <w:spacing w:val="43"/>
        </w:rPr>
        <w:t> </w:t>
      </w:r>
      <w:r>
        <w:rPr/>
        <w:t>The</w:t>
      </w:r>
      <w:r>
        <w:rPr>
          <w:spacing w:val="-10"/>
        </w:rPr>
        <w:t> </w:t>
      </w:r>
      <w:r>
        <w:rPr/>
        <w:t>Vendor</w:t>
      </w:r>
      <w:r>
        <w:rPr>
          <w:spacing w:val="-7"/>
        </w:rPr>
        <w:t> </w:t>
      </w:r>
      <w:r>
        <w:rPr/>
        <w:t>agrees</w:t>
      </w:r>
      <w:r>
        <w:rPr>
          <w:spacing w:val="-8"/>
        </w:rPr>
        <w:t> </w:t>
      </w:r>
      <w:r>
        <w:rPr/>
        <w:t>that</w:t>
      </w:r>
      <w:r>
        <w:rPr>
          <w:spacing w:val="-9"/>
        </w:rPr>
        <w:t> </w:t>
      </w:r>
      <w:r>
        <w:rPr/>
        <w:t>its</w:t>
      </w:r>
      <w:r>
        <w:rPr>
          <w:spacing w:val="-8"/>
        </w:rPr>
        <w:t> </w:t>
      </w:r>
      <w:r>
        <w:rPr/>
        <w:t>designated</w:t>
      </w:r>
      <w:r>
        <w:rPr>
          <w:spacing w:val="-6"/>
        </w:rPr>
        <w:t> </w:t>
      </w:r>
      <w:r>
        <w:rPr/>
        <w:t>representative</w:t>
      </w:r>
      <w:r>
        <w:rPr>
          <w:spacing w:val="-10"/>
        </w:rPr>
        <w:t> </w:t>
      </w:r>
      <w:r>
        <w:rPr/>
        <w:t>will indicate</w:t>
      </w:r>
      <w:r>
        <w:rPr>
          <w:spacing w:val="-12"/>
        </w:rPr>
        <w:t> </w:t>
      </w:r>
      <w:r>
        <w:rPr/>
        <w:t>its</w:t>
      </w:r>
      <w:r>
        <w:rPr>
          <w:spacing w:val="-13"/>
        </w:rPr>
        <w:t> </w:t>
      </w:r>
      <w:r>
        <w:rPr/>
        <w:t>acceptance</w:t>
      </w:r>
      <w:r>
        <w:rPr>
          <w:spacing w:val="-14"/>
        </w:rPr>
        <w:t> </w:t>
      </w:r>
      <w:r>
        <w:rPr/>
        <w:t>or</w:t>
      </w:r>
      <w:r>
        <w:rPr>
          <w:spacing w:val="-9"/>
        </w:rPr>
        <w:t> </w:t>
      </w:r>
      <w:r>
        <w:rPr/>
        <w:t>rejection,</w:t>
      </w:r>
      <w:r>
        <w:rPr>
          <w:spacing w:val="-11"/>
        </w:rPr>
        <w:t> </w:t>
      </w:r>
      <w:r>
        <w:rPr/>
        <w:t>in</w:t>
      </w:r>
      <w:r>
        <w:rPr>
          <w:spacing w:val="-13"/>
        </w:rPr>
        <w:t> </w:t>
      </w:r>
      <w:r>
        <w:rPr/>
        <w:t>whole</w:t>
      </w:r>
      <w:r>
        <w:rPr>
          <w:spacing w:val="-12"/>
        </w:rPr>
        <w:t> </w:t>
      </w:r>
      <w:r>
        <w:rPr/>
        <w:t>or</w:t>
      </w:r>
      <w:r>
        <w:rPr>
          <w:spacing w:val="-14"/>
        </w:rPr>
        <w:t> </w:t>
      </w:r>
      <w:r>
        <w:rPr/>
        <w:t>in</w:t>
      </w:r>
      <w:r>
        <w:rPr>
          <w:spacing w:val="-11"/>
        </w:rPr>
        <w:t> </w:t>
      </w:r>
      <w:r>
        <w:rPr/>
        <w:t>part,</w:t>
      </w:r>
      <w:r>
        <w:rPr>
          <w:spacing w:val="-13"/>
        </w:rPr>
        <w:t> </w:t>
      </w:r>
      <w:r>
        <w:rPr/>
        <w:t>of</w:t>
      </w:r>
      <w:r>
        <w:rPr>
          <w:spacing w:val="-12"/>
        </w:rPr>
        <w:t> </w:t>
      </w:r>
      <w:r>
        <w:rPr/>
        <w:t>a</w:t>
      </w:r>
      <w:r>
        <w:rPr>
          <w:spacing w:val="-12"/>
        </w:rPr>
        <w:t> </w:t>
      </w:r>
      <w:r>
        <w:rPr/>
        <w:t>PLCB</w:t>
      </w:r>
      <w:r>
        <w:rPr>
          <w:spacing w:val="-10"/>
        </w:rPr>
        <w:t> </w:t>
      </w:r>
      <w:r>
        <w:rPr/>
        <w:t>order</w:t>
      </w:r>
      <w:r>
        <w:rPr>
          <w:spacing w:val="-14"/>
        </w:rPr>
        <w:t> </w:t>
      </w:r>
      <w:r>
        <w:rPr/>
        <w:t>for</w:t>
      </w:r>
      <w:r>
        <w:rPr>
          <w:spacing w:val="-12"/>
        </w:rPr>
        <w:t> </w:t>
      </w:r>
      <w:r>
        <w:rPr/>
        <w:t>products</w:t>
      </w:r>
      <w:r>
        <w:rPr>
          <w:spacing w:val="-13"/>
        </w:rPr>
        <w:t> </w:t>
      </w:r>
      <w:r>
        <w:rPr/>
        <w:t>maintained in</w:t>
      </w:r>
      <w:r>
        <w:rPr>
          <w:spacing w:val="-4"/>
        </w:rPr>
        <w:t> </w:t>
      </w:r>
      <w:r>
        <w:rPr/>
        <w:t>the</w:t>
      </w:r>
      <w:r>
        <w:rPr>
          <w:spacing w:val="-4"/>
        </w:rPr>
        <w:t> </w:t>
      </w:r>
      <w:r>
        <w:rPr/>
        <w:t>DC</w:t>
      </w:r>
      <w:r>
        <w:rPr>
          <w:spacing w:val="-3"/>
        </w:rPr>
        <w:t> </w:t>
      </w:r>
      <w:r>
        <w:rPr/>
        <w:t>within</w:t>
      </w:r>
      <w:r>
        <w:rPr>
          <w:spacing w:val="-3"/>
        </w:rPr>
        <w:t> </w:t>
      </w:r>
      <w:r>
        <w:rPr/>
        <w:t>two</w:t>
      </w:r>
      <w:r>
        <w:rPr>
          <w:spacing w:val="-1"/>
        </w:rPr>
        <w:t> </w:t>
      </w:r>
      <w:r>
        <w:rPr/>
        <w:t>hours</w:t>
      </w:r>
      <w:r>
        <w:rPr>
          <w:spacing w:val="-3"/>
        </w:rPr>
        <w:t> </w:t>
      </w:r>
      <w:r>
        <w:rPr/>
        <w:t>of</w:t>
      </w:r>
      <w:r>
        <w:rPr>
          <w:spacing w:val="-1"/>
        </w:rPr>
        <w:t> </w:t>
      </w:r>
      <w:r>
        <w:rPr/>
        <w:t>receipt</w:t>
      </w:r>
      <w:r>
        <w:rPr>
          <w:spacing w:val="-3"/>
        </w:rPr>
        <w:t> </w:t>
      </w:r>
      <w:r>
        <w:rPr/>
        <w:t>of</w:t>
      </w:r>
      <w:r>
        <w:rPr>
          <w:spacing w:val="-1"/>
        </w:rPr>
        <w:t> </w:t>
      </w:r>
      <w:r>
        <w:rPr/>
        <w:t>the</w:t>
      </w:r>
      <w:r>
        <w:rPr>
          <w:spacing w:val="-5"/>
        </w:rPr>
        <w:t> </w:t>
      </w:r>
      <w:r>
        <w:rPr/>
        <w:t>order,</w:t>
      </w:r>
      <w:r>
        <w:rPr>
          <w:spacing w:val="2"/>
        </w:rPr>
        <w:t> </w:t>
      </w:r>
      <w:r>
        <w:rPr/>
        <w:t>or</w:t>
      </w:r>
      <w:r>
        <w:rPr>
          <w:spacing w:val="-4"/>
        </w:rPr>
        <w:t> </w:t>
      </w:r>
      <w:r>
        <w:rPr/>
        <w:t>the</w:t>
      </w:r>
      <w:r>
        <w:rPr>
          <w:spacing w:val="-5"/>
        </w:rPr>
        <w:t> </w:t>
      </w:r>
      <w:r>
        <w:rPr/>
        <w:t>PLCB’s</w:t>
      </w:r>
      <w:r>
        <w:rPr>
          <w:spacing w:val="-3"/>
        </w:rPr>
        <w:t> </w:t>
      </w:r>
      <w:r>
        <w:rPr/>
        <w:t>order</w:t>
      </w:r>
      <w:r>
        <w:rPr>
          <w:spacing w:val="-2"/>
        </w:rPr>
        <w:t> </w:t>
      </w:r>
      <w:r>
        <w:rPr/>
        <w:t>will</w:t>
      </w:r>
      <w:r>
        <w:rPr>
          <w:spacing w:val="-2"/>
        </w:rPr>
        <w:t> </w:t>
      </w:r>
      <w:r>
        <w:rPr/>
        <w:t>be</w:t>
      </w:r>
      <w:r>
        <w:rPr>
          <w:spacing w:val="-4"/>
        </w:rPr>
        <w:t> </w:t>
      </w:r>
      <w:r>
        <w:rPr/>
        <w:t>deemed</w:t>
      </w:r>
      <w:r>
        <w:rPr>
          <w:spacing w:val="-4"/>
        </w:rPr>
        <w:t> </w:t>
      </w:r>
      <w:r>
        <w:rPr/>
        <w:t>to</w:t>
      </w:r>
      <w:r>
        <w:rPr>
          <w:spacing w:val="-3"/>
        </w:rPr>
        <w:t> </w:t>
      </w:r>
      <w:r>
        <w:rPr/>
        <w:t>have been</w:t>
      </w:r>
      <w:r>
        <w:rPr>
          <w:spacing w:val="-1"/>
        </w:rPr>
        <w:t> </w:t>
      </w:r>
      <w:r>
        <w:rPr/>
        <w:t>accepted.</w:t>
      </w:r>
    </w:p>
    <w:p>
      <w:pPr>
        <w:pStyle w:val="BodyText"/>
      </w:pPr>
    </w:p>
    <w:p>
      <w:pPr>
        <w:pStyle w:val="BodyText"/>
        <w:spacing w:before="1"/>
        <w:ind w:left="544"/>
        <w:jc w:val="both"/>
      </w:pPr>
      <w:r>
        <w:rPr/>
        <w:t>The Vendor is responsible for updating this document as needed.</w:t>
      </w:r>
    </w:p>
    <w:p>
      <w:pPr>
        <w:pStyle w:val="BodyText"/>
        <w:spacing w:before="11"/>
        <w:rPr>
          <w:sz w:val="23"/>
        </w:rPr>
      </w:pPr>
    </w:p>
    <w:p>
      <w:pPr>
        <w:pStyle w:val="ListParagraph"/>
        <w:numPr>
          <w:ilvl w:val="0"/>
          <w:numId w:val="3"/>
        </w:numPr>
        <w:tabs>
          <w:tab w:pos="528" w:val="left" w:leader="none"/>
          <w:tab w:pos="8361" w:val="left" w:leader="none"/>
          <w:tab w:pos="9225" w:val="left" w:leader="none"/>
          <w:tab w:pos="9534" w:val="left" w:leader="none"/>
        </w:tabs>
        <w:spacing w:line="240" w:lineRule="auto" w:before="0" w:after="0"/>
        <w:ind w:left="528" w:right="663" w:hanging="240"/>
        <w:jc w:val="left"/>
        <w:rPr>
          <w:sz w:val="24"/>
        </w:rPr>
      </w:pPr>
      <w:r>
        <w:rPr>
          <w:sz w:val="24"/>
        </w:rPr>
        <w:t>Representative’s</w:t>
      </w:r>
      <w:r>
        <w:rPr>
          <w:spacing w:val="-5"/>
          <w:sz w:val="24"/>
        </w:rPr>
        <w:t> </w:t>
      </w:r>
      <w:r>
        <w:rPr>
          <w:sz w:val="24"/>
        </w:rPr>
        <w:t>Name:</w:t>
      </w:r>
      <w:r>
        <w:rPr>
          <w:sz w:val="24"/>
          <w:u w:val="single"/>
        </w:rPr>
        <w:t> </w:t>
        <w:tab/>
        <w:tab/>
      </w:r>
      <w:r>
        <w:rPr>
          <w:sz w:val="24"/>
        </w:rPr>
        <w:t> Street:</w:t>
      </w:r>
      <w:r>
        <w:rPr>
          <w:sz w:val="24"/>
          <w:u w:val="single"/>
        </w:rPr>
        <w:tab/>
        <w:tab/>
        <w:tab/>
      </w:r>
      <w:r>
        <w:rPr>
          <w:sz w:val="24"/>
        </w:rPr>
        <w:t> City, State,</w:t>
      </w:r>
      <w:r>
        <w:rPr>
          <w:spacing w:val="-3"/>
          <w:sz w:val="24"/>
        </w:rPr>
        <w:t> </w:t>
      </w:r>
      <w:r>
        <w:rPr>
          <w:sz w:val="24"/>
        </w:rPr>
        <w:t>Zip: </w:t>
      </w:r>
      <w:r>
        <w:rPr>
          <w:sz w:val="24"/>
          <w:u w:val="single"/>
        </w:rPr>
        <w:t> </w:t>
        <w:tab/>
      </w:r>
    </w:p>
    <w:p>
      <w:pPr>
        <w:pStyle w:val="BodyText"/>
        <w:tabs>
          <w:tab w:pos="4199" w:val="left" w:leader="none"/>
          <w:tab w:pos="4619" w:val="left" w:leader="none"/>
          <w:tab w:pos="8299" w:val="left" w:leader="none"/>
        </w:tabs>
        <w:ind w:left="540"/>
      </w:pPr>
      <w:r>
        <w:rPr/>
        <w:t>Telephone:</w:t>
      </w:r>
      <w:r>
        <w:rPr>
          <w:u w:val="single"/>
        </w:rPr>
        <w:t> </w:t>
        <w:tab/>
      </w:r>
      <w:r>
        <w:rPr/>
        <w:tab/>
        <w:t>e-mail:</w:t>
      </w:r>
      <w:r>
        <w:rPr>
          <w:u w:val="single"/>
        </w:rPr>
        <w:t> </w:t>
        <w:tab/>
      </w:r>
    </w:p>
    <w:p>
      <w:pPr>
        <w:pStyle w:val="BodyText"/>
        <w:spacing w:before="4"/>
        <w:rPr>
          <w:sz w:val="16"/>
        </w:rPr>
      </w:pPr>
    </w:p>
    <w:p>
      <w:pPr>
        <w:pStyle w:val="ListParagraph"/>
        <w:numPr>
          <w:ilvl w:val="0"/>
          <w:numId w:val="3"/>
        </w:numPr>
        <w:tabs>
          <w:tab w:pos="572" w:val="left" w:leader="none"/>
          <w:tab w:pos="8382" w:val="left" w:leader="none"/>
        </w:tabs>
        <w:spacing w:line="240" w:lineRule="auto" w:before="89" w:after="0"/>
        <w:ind w:left="571" w:right="0" w:hanging="282"/>
        <w:jc w:val="left"/>
        <w:rPr>
          <w:sz w:val="28"/>
        </w:rPr>
      </w:pPr>
      <w:r>
        <w:rPr>
          <w:sz w:val="24"/>
        </w:rPr>
        <w:t>Alternate Representative’s</w:t>
      </w:r>
      <w:r>
        <w:rPr>
          <w:spacing w:val="-11"/>
          <w:sz w:val="24"/>
        </w:rPr>
        <w:t> </w:t>
      </w:r>
      <w:r>
        <w:rPr>
          <w:sz w:val="24"/>
        </w:rPr>
        <w:t>Name:</w:t>
      </w:r>
      <w:r>
        <w:rPr>
          <w:sz w:val="24"/>
          <w:u w:val="single"/>
        </w:rPr>
        <w:t> </w:t>
        <w:tab/>
      </w:r>
    </w:p>
    <w:p>
      <w:pPr>
        <w:pStyle w:val="BodyText"/>
        <w:tabs>
          <w:tab w:pos="9470" w:val="left" w:leader="none"/>
          <w:tab w:pos="9545" w:val="left" w:leader="none"/>
        </w:tabs>
        <w:spacing w:before="23"/>
        <w:ind w:left="540" w:right="652"/>
      </w:pPr>
      <w:r>
        <w:rPr/>
        <w:t>Street:</w:t>
      </w:r>
      <w:r>
        <w:rPr>
          <w:u w:val="single"/>
        </w:rPr>
        <w:tab/>
        <w:tab/>
      </w:r>
      <w:r>
        <w:rPr/>
        <w:t> City, State,</w:t>
      </w:r>
      <w:r>
        <w:rPr>
          <w:spacing w:val="-3"/>
        </w:rPr>
        <w:t> </w:t>
      </w:r>
      <w:r>
        <w:rPr/>
        <w:t>Zip: </w:t>
      </w:r>
      <w:r>
        <w:rPr>
          <w:spacing w:val="14"/>
        </w:rPr>
        <w:t> </w:t>
      </w:r>
      <w:r>
        <w:rPr>
          <w:u w:val="single"/>
        </w:rPr>
        <w:t> </w:t>
        <w:tab/>
      </w:r>
    </w:p>
    <w:p>
      <w:pPr>
        <w:tabs>
          <w:tab w:pos="5149" w:val="left" w:leader="none"/>
          <w:tab w:pos="9470" w:val="left" w:leader="none"/>
        </w:tabs>
        <w:spacing w:before="201"/>
        <w:ind w:left="540" w:right="0" w:firstLine="0"/>
        <w:jc w:val="left"/>
        <w:rPr>
          <w:sz w:val="28"/>
        </w:rPr>
      </w:pPr>
      <w:r>
        <w:rPr>
          <w:sz w:val="24"/>
        </w:rPr>
        <w:t>Telephone:</w:t>
      </w:r>
      <w:r>
        <w:rPr>
          <w:sz w:val="24"/>
          <w:u w:val="single"/>
        </w:rPr>
        <w:t> </w:t>
        <w:tab/>
      </w:r>
      <w:r>
        <w:rPr>
          <w:position w:val="5"/>
          <w:sz w:val="28"/>
        </w:rPr>
        <w:t>e-mail:</w:t>
      </w:r>
      <w:r>
        <w:rPr>
          <w:position w:val="5"/>
          <w:sz w:val="28"/>
          <w:u w:val="single"/>
        </w:rPr>
        <w:t> </w:t>
        <w:tab/>
      </w:r>
    </w:p>
    <w:p>
      <w:pPr>
        <w:pStyle w:val="BodyText"/>
        <w:rPr>
          <w:sz w:val="20"/>
        </w:rPr>
      </w:pPr>
    </w:p>
    <w:p>
      <w:pPr>
        <w:pStyle w:val="BodyText"/>
        <w:rPr>
          <w:sz w:val="20"/>
        </w:rPr>
      </w:pPr>
    </w:p>
    <w:p>
      <w:pPr>
        <w:pStyle w:val="BodyText"/>
        <w:spacing w:before="5"/>
        <w:rPr>
          <w:sz w:val="17"/>
        </w:rPr>
      </w:pPr>
    </w:p>
    <w:p>
      <w:pPr>
        <w:pStyle w:val="BodyText"/>
        <w:spacing w:before="90"/>
        <w:ind w:left="573"/>
      </w:pPr>
      <w:r>
        <w:rPr/>
        <w:t>Signature of person authorized by Vendor to sign and execute documents</w:t>
      </w:r>
    </w:p>
    <w:p>
      <w:pPr>
        <w:pStyle w:val="BodyText"/>
        <w:rPr>
          <w:sz w:val="20"/>
        </w:rPr>
      </w:pPr>
    </w:p>
    <w:p>
      <w:pPr>
        <w:spacing w:after="0"/>
        <w:rPr>
          <w:sz w:val="20"/>
        </w:rPr>
        <w:sectPr>
          <w:footerReference w:type="default" r:id="rId7"/>
          <w:pgSz w:w="12240" w:h="15840"/>
          <w:pgMar w:footer="1323" w:header="0" w:top="1380" w:bottom="1520" w:left="1140" w:right="900"/>
          <w:pgNumType w:start="13"/>
        </w:sectPr>
      </w:pPr>
    </w:p>
    <w:p>
      <w:pPr>
        <w:pStyle w:val="BodyText"/>
        <w:spacing w:before="6"/>
        <w:rPr>
          <w:sz w:val="21"/>
        </w:rPr>
      </w:pPr>
    </w:p>
    <w:p>
      <w:pPr>
        <w:pStyle w:val="BodyText"/>
        <w:tabs>
          <w:tab w:pos="3983" w:val="left" w:leader="none"/>
          <w:tab w:pos="4199" w:val="left" w:leader="none"/>
        </w:tabs>
        <w:spacing w:line="247" w:lineRule="auto" w:before="1"/>
        <w:ind w:left="583" w:hanging="10"/>
      </w:pPr>
      <w:r>
        <w:rPr/>
        <w:t>Signature:</w:t>
      </w:r>
      <w:r>
        <w:rPr>
          <w:u w:val="single"/>
        </w:rPr>
        <w:tab/>
        <w:tab/>
      </w:r>
      <w:r>
        <w:rPr/>
        <w:t> Title:</w:t>
      </w:r>
      <w:r>
        <w:rPr>
          <w:u w:val="single"/>
        </w:rPr>
        <w:t> </w:t>
        <w:tab/>
      </w:r>
    </w:p>
    <w:p>
      <w:pPr>
        <w:pStyle w:val="BodyText"/>
        <w:spacing w:before="6"/>
        <w:rPr>
          <w:sz w:val="21"/>
        </w:rPr>
      </w:pPr>
      <w:r>
        <w:rPr/>
        <w:br w:type="column"/>
      </w:r>
      <w:r>
        <w:rPr>
          <w:sz w:val="21"/>
        </w:rPr>
      </w:r>
    </w:p>
    <w:p>
      <w:pPr>
        <w:pStyle w:val="BodyText"/>
        <w:tabs>
          <w:tab w:pos="4020" w:val="left" w:leader="none"/>
        </w:tabs>
        <w:spacing w:line="247" w:lineRule="auto" w:before="1"/>
        <w:ind w:left="380" w:right="1891"/>
      </w:pPr>
      <w:r>
        <w:rPr/>
        <w:t>Print</w:t>
      </w:r>
      <w:r>
        <w:rPr>
          <w:spacing w:val="-4"/>
        </w:rPr>
        <w:t> </w:t>
      </w:r>
      <w:r>
        <w:rPr/>
        <w:t>Name:</w:t>
      </w:r>
      <w:r>
        <w:rPr>
          <w:u w:val="single"/>
        </w:rPr>
        <w:t> </w:t>
        <w:tab/>
      </w:r>
      <w:r>
        <w:rPr>
          <w:w w:val="48"/>
          <w:u w:val="single"/>
        </w:rPr>
        <w:t> </w:t>
      </w:r>
      <w:r>
        <w:rPr/>
        <w:t> Date:  </w:t>
      </w:r>
      <w:r>
        <w:rPr>
          <w:u w:val="single"/>
        </w:rPr>
        <w:t> </w:t>
        <w:tab/>
      </w:r>
    </w:p>
    <w:p>
      <w:pPr>
        <w:spacing w:after="0" w:line="247" w:lineRule="auto"/>
        <w:sectPr>
          <w:type w:val="continuous"/>
          <w:pgSz w:w="12240" w:h="15840"/>
          <w:pgMar w:top="1380" w:bottom="880" w:left="1140" w:right="900"/>
          <w:cols w:num="2" w:equalWidth="0">
            <w:col w:w="4200" w:space="40"/>
            <w:col w:w="5960"/>
          </w:cols>
        </w:sectPr>
      </w:pPr>
    </w:p>
    <w:p>
      <w:pPr>
        <w:pStyle w:val="Heading2"/>
        <w:spacing w:line="472" w:lineRule="auto" w:before="71"/>
        <w:ind w:left="4250" w:right="4489"/>
        <w:jc w:val="center"/>
      </w:pPr>
      <w:r>
        <w:rPr/>
        <w:t>APPENDIX B HOLIDAYS</w:t>
      </w:r>
    </w:p>
    <w:p>
      <w:pPr>
        <w:spacing w:line="247" w:lineRule="auto" w:before="0"/>
        <w:ind w:left="309" w:right="573" w:hanging="10"/>
        <w:jc w:val="left"/>
        <w:rPr>
          <w:b/>
          <w:sz w:val="24"/>
        </w:rPr>
      </w:pPr>
      <w:r>
        <w:rPr>
          <w:b/>
          <w:sz w:val="24"/>
        </w:rPr>
        <w:t>The following is a list of holidays and operational days observed by the Distribution Center Operators.</w:t>
      </w:r>
    </w:p>
    <w:p>
      <w:pPr>
        <w:tabs>
          <w:tab w:pos="1691" w:val="left" w:leader="none"/>
        </w:tabs>
        <w:spacing w:line="259" w:lineRule="auto" w:before="228"/>
        <w:ind w:left="1725" w:right="3738" w:hanging="1426"/>
        <w:jc w:val="left"/>
        <w:rPr>
          <w:b/>
          <w:sz w:val="24"/>
        </w:rPr>
      </w:pPr>
      <w:r>
        <w:rPr>
          <w:b/>
          <w:sz w:val="24"/>
        </w:rPr>
        <w:t>Key:</w:t>
        <w:tab/>
        <w:t>A = Warehouse CLOSED – No store</w:t>
      </w:r>
      <w:r>
        <w:rPr>
          <w:b/>
          <w:spacing w:val="-14"/>
          <w:sz w:val="24"/>
        </w:rPr>
        <w:t> </w:t>
      </w:r>
      <w:r>
        <w:rPr>
          <w:b/>
          <w:sz w:val="24"/>
        </w:rPr>
        <w:t>deliveries </w:t>
      </w:r>
      <w:r>
        <w:rPr>
          <w:b/>
          <w:sz w:val="28"/>
        </w:rPr>
        <w:t>B </w:t>
      </w:r>
      <w:r>
        <w:rPr>
          <w:b/>
          <w:sz w:val="24"/>
        </w:rPr>
        <w:t>= Warehouse OPEN – No store deliveries  </w:t>
      </w:r>
      <w:r>
        <w:rPr>
          <w:b/>
          <w:sz w:val="28"/>
        </w:rPr>
        <w:t>C </w:t>
      </w:r>
      <w:r>
        <w:rPr>
          <w:b/>
          <w:sz w:val="24"/>
        </w:rPr>
        <w:t>= Normal operating</w:t>
      </w:r>
      <w:r>
        <w:rPr>
          <w:b/>
          <w:spacing w:val="-3"/>
          <w:sz w:val="24"/>
        </w:rPr>
        <w:t> </w:t>
      </w:r>
      <w:r>
        <w:rPr>
          <w:b/>
          <w:sz w:val="24"/>
        </w:rPr>
        <w:t>day</w:t>
      </w:r>
    </w:p>
    <w:p>
      <w:pPr>
        <w:spacing w:line="264" w:lineRule="auto" w:before="0"/>
        <w:ind w:left="1725" w:right="1771" w:firstLine="14"/>
        <w:jc w:val="left"/>
        <w:rPr>
          <w:b/>
          <w:sz w:val="24"/>
        </w:rPr>
      </w:pPr>
      <w:r>
        <w:rPr>
          <w:b/>
          <w:sz w:val="24"/>
        </w:rPr>
        <w:t>D = Warehouse OPEN – Receiving only (no picking or deliveries) E = Warehouse CLOSED – Store deliveries only</w:t>
      </w:r>
    </w:p>
    <w:p>
      <w:pPr>
        <w:spacing w:line="274" w:lineRule="exact" w:before="0"/>
        <w:ind w:left="1740" w:right="0" w:firstLine="0"/>
        <w:jc w:val="left"/>
        <w:rPr>
          <w:b/>
          <w:sz w:val="24"/>
        </w:rPr>
      </w:pPr>
      <w:r>
        <w:rPr>
          <w:b/>
          <w:sz w:val="24"/>
        </w:rPr>
        <w:t>F = Warehouse OPEN – Shipping/receiving only (no picking)</w:t>
      </w:r>
    </w:p>
    <w:p>
      <w:pPr>
        <w:pStyle w:val="BodyText"/>
        <w:spacing w:before="7"/>
        <w:rPr>
          <w:b/>
          <w:sz w:val="27"/>
        </w:rPr>
      </w:pPr>
    </w:p>
    <w:tbl>
      <w:tblPr>
        <w:tblW w:w="0" w:type="auto"/>
        <w:jc w:val="left"/>
        <w:tblInd w:w="1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66"/>
        <w:gridCol w:w="1262"/>
        <w:gridCol w:w="2238"/>
        <w:gridCol w:w="864"/>
        <w:gridCol w:w="721"/>
        <w:gridCol w:w="648"/>
      </w:tblGrid>
      <w:tr>
        <w:trPr>
          <w:trHeight w:val="290" w:hRule="atLeast"/>
        </w:trPr>
        <w:tc>
          <w:tcPr>
            <w:tcW w:w="2766" w:type="dxa"/>
          </w:tcPr>
          <w:p>
            <w:pPr>
              <w:pStyle w:val="TableParagraph"/>
              <w:spacing w:line="266" w:lineRule="exact" w:before="0"/>
              <w:ind w:left="200"/>
              <w:rPr>
                <w:sz w:val="24"/>
              </w:rPr>
            </w:pPr>
            <w:r>
              <w:rPr>
                <w:sz w:val="24"/>
                <w:u w:val="single"/>
              </w:rPr>
              <w:t>Holiday</w:t>
            </w:r>
          </w:p>
        </w:tc>
        <w:tc>
          <w:tcPr>
            <w:tcW w:w="1262" w:type="dxa"/>
          </w:tcPr>
          <w:p>
            <w:pPr>
              <w:pStyle w:val="TableParagraph"/>
              <w:spacing w:line="266" w:lineRule="exact" w:before="0"/>
              <w:ind w:left="313"/>
              <w:rPr>
                <w:sz w:val="24"/>
              </w:rPr>
            </w:pPr>
            <w:r>
              <w:rPr>
                <w:sz w:val="24"/>
                <w:u w:val="single"/>
              </w:rPr>
              <w:t>Day</w:t>
            </w:r>
          </w:p>
        </w:tc>
        <w:tc>
          <w:tcPr>
            <w:tcW w:w="2238" w:type="dxa"/>
          </w:tcPr>
          <w:p>
            <w:pPr>
              <w:pStyle w:val="TableParagraph"/>
              <w:spacing w:line="266" w:lineRule="exact" w:before="0"/>
              <w:ind w:left="491"/>
              <w:rPr>
                <w:sz w:val="24"/>
              </w:rPr>
            </w:pPr>
            <w:r>
              <w:rPr>
                <w:sz w:val="24"/>
                <w:u w:val="single"/>
              </w:rPr>
              <w:t>Stores Closed</w:t>
            </w:r>
          </w:p>
        </w:tc>
        <w:tc>
          <w:tcPr>
            <w:tcW w:w="2233" w:type="dxa"/>
            <w:gridSpan w:val="3"/>
          </w:tcPr>
          <w:p>
            <w:pPr>
              <w:pStyle w:val="TableParagraph"/>
              <w:spacing w:line="266" w:lineRule="exact" w:before="0"/>
              <w:ind w:left="413"/>
              <w:rPr>
                <w:sz w:val="24"/>
              </w:rPr>
            </w:pPr>
            <w:r>
              <w:rPr>
                <w:sz w:val="24"/>
                <w:u w:val="single"/>
              </w:rPr>
              <w:t>DC1 DC2</w:t>
            </w:r>
            <w:r>
              <w:rPr>
                <w:spacing w:val="58"/>
                <w:sz w:val="24"/>
                <w:u w:val="single"/>
              </w:rPr>
              <w:t> </w:t>
            </w:r>
            <w:r>
              <w:rPr>
                <w:sz w:val="24"/>
                <w:u w:val="single"/>
              </w:rPr>
              <w:t>DC4</w:t>
            </w:r>
          </w:p>
        </w:tc>
      </w:tr>
      <w:tr>
        <w:trPr>
          <w:trHeight w:val="437" w:hRule="atLeast"/>
        </w:trPr>
        <w:tc>
          <w:tcPr>
            <w:tcW w:w="2766" w:type="dxa"/>
          </w:tcPr>
          <w:p>
            <w:pPr>
              <w:pStyle w:val="TableParagraph"/>
              <w:spacing w:before="14"/>
              <w:ind w:left="200"/>
              <w:rPr>
                <w:sz w:val="24"/>
              </w:rPr>
            </w:pPr>
            <w:r>
              <w:rPr>
                <w:sz w:val="24"/>
              </w:rPr>
              <w:t>New Year’s Day</w:t>
            </w:r>
          </w:p>
        </w:tc>
        <w:tc>
          <w:tcPr>
            <w:tcW w:w="1262" w:type="dxa"/>
          </w:tcPr>
          <w:p>
            <w:pPr>
              <w:pStyle w:val="TableParagraph"/>
              <w:spacing w:before="0"/>
              <w:rPr>
                <w:sz w:val="22"/>
              </w:rPr>
            </w:pPr>
          </w:p>
        </w:tc>
        <w:tc>
          <w:tcPr>
            <w:tcW w:w="2238" w:type="dxa"/>
          </w:tcPr>
          <w:p>
            <w:pPr>
              <w:pStyle w:val="TableParagraph"/>
              <w:spacing w:before="14"/>
              <w:ind w:left="491"/>
              <w:rPr>
                <w:sz w:val="24"/>
              </w:rPr>
            </w:pPr>
            <w:r>
              <w:rPr>
                <w:sz w:val="24"/>
              </w:rPr>
              <w:t>Yes</w:t>
            </w:r>
          </w:p>
        </w:tc>
        <w:tc>
          <w:tcPr>
            <w:tcW w:w="864" w:type="dxa"/>
          </w:tcPr>
          <w:p>
            <w:pPr>
              <w:pStyle w:val="TableParagraph"/>
              <w:spacing w:before="14"/>
              <w:ind w:right="274"/>
              <w:jc w:val="right"/>
              <w:rPr>
                <w:sz w:val="24"/>
              </w:rPr>
            </w:pPr>
            <w:r>
              <w:rPr>
                <w:sz w:val="24"/>
              </w:rPr>
              <w:t>A</w:t>
            </w:r>
          </w:p>
        </w:tc>
        <w:tc>
          <w:tcPr>
            <w:tcW w:w="721" w:type="dxa"/>
          </w:tcPr>
          <w:p>
            <w:pPr>
              <w:pStyle w:val="TableParagraph"/>
              <w:spacing w:before="14"/>
              <w:ind w:left="269"/>
              <w:rPr>
                <w:sz w:val="24"/>
              </w:rPr>
            </w:pPr>
            <w:r>
              <w:rPr>
                <w:sz w:val="24"/>
              </w:rPr>
              <w:t>A</w:t>
            </w:r>
          </w:p>
        </w:tc>
        <w:tc>
          <w:tcPr>
            <w:tcW w:w="648" w:type="dxa"/>
          </w:tcPr>
          <w:p>
            <w:pPr>
              <w:pStyle w:val="TableParagraph"/>
              <w:spacing w:before="14"/>
              <w:ind w:left="63"/>
              <w:jc w:val="center"/>
              <w:rPr>
                <w:sz w:val="24"/>
              </w:rPr>
            </w:pPr>
            <w:r>
              <w:rPr>
                <w:sz w:val="24"/>
              </w:rPr>
              <w:t>A</w:t>
            </w:r>
          </w:p>
        </w:tc>
      </w:tr>
      <w:tr>
        <w:trPr>
          <w:trHeight w:val="534" w:hRule="atLeast"/>
        </w:trPr>
        <w:tc>
          <w:tcPr>
            <w:tcW w:w="2766" w:type="dxa"/>
          </w:tcPr>
          <w:p>
            <w:pPr>
              <w:pStyle w:val="TableParagraph"/>
              <w:spacing w:before="137"/>
              <w:ind w:left="200"/>
              <w:rPr>
                <w:sz w:val="24"/>
              </w:rPr>
            </w:pPr>
            <w:r>
              <w:rPr>
                <w:sz w:val="24"/>
              </w:rPr>
              <w:t>Dr. M. L. King Jr. Day</w:t>
            </w:r>
          </w:p>
        </w:tc>
        <w:tc>
          <w:tcPr>
            <w:tcW w:w="1262" w:type="dxa"/>
          </w:tcPr>
          <w:p>
            <w:pPr>
              <w:pStyle w:val="TableParagraph"/>
              <w:spacing w:before="137"/>
              <w:ind w:left="313"/>
              <w:rPr>
                <w:sz w:val="24"/>
              </w:rPr>
            </w:pPr>
            <w:r>
              <w:rPr>
                <w:sz w:val="24"/>
              </w:rPr>
              <w:t>Mon</w:t>
            </w:r>
          </w:p>
        </w:tc>
        <w:tc>
          <w:tcPr>
            <w:tcW w:w="2238" w:type="dxa"/>
          </w:tcPr>
          <w:p>
            <w:pPr>
              <w:pStyle w:val="TableParagraph"/>
              <w:spacing w:before="137"/>
              <w:ind w:left="491"/>
              <w:rPr>
                <w:sz w:val="24"/>
              </w:rPr>
            </w:pPr>
            <w:r>
              <w:rPr>
                <w:sz w:val="24"/>
              </w:rPr>
              <w:t>No</w:t>
            </w:r>
          </w:p>
        </w:tc>
        <w:tc>
          <w:tcPr>
            <w:tcW w:w="864" w:type="dxa"/>
          </w:tcPr>
          <w:p>
            <w:pPr>
              <w:pStyle w:val="TableParagraph"/>
              <w:spacing w:before="137"/>
              <w:ind w:right="287"/>
              <w:jc w:val="right"/>
              <w:rPr>
                <w:sz w:val="24"/>
              </w:rPr>
            </w:pPr>
            <w:r>
              <w:rPr>
                <w:sz w:val="24"/>
              </w:rPr>
              <w:t>C</w:t>
            </w:r>
          </w:p>
        </w:tc>
        <w:tc>
          <w:tcPr>
            <w:tcW w:w="721" w:type="dxa"/>
          </w:tcPr>
          <w:p>
            <w:pPr>
              <w:pStyle w:val="TableParagraph"/>
              <w:spacing w:before="137"/>
              <w:ind w:left="269"/>
              <w:rPr>
                <w:sz w:val="24"/>
              </w:rPr>
            </w:pPr>
            <w:r>
              <w:rPr>
                <w:sz w:val="24"/>
              </w:rPr>
              <w:t>C</w:t>
            </w:r>
          </w:p>
        </w:tc>
        <w:tc>
          <w:tcPr>
            <w:tcW w:w="648" w:type="dxa"/>
          </w:tcPr>
          <w:p>
            <w:pPr>
              <w:pStyle w:val="TableParagraph"/>
              <w:spacing w:before="137"/>
              <w:ind w:left="50"/>
              <w:jc w:val="center"/>
              <w:rPr>
                <w:sz w:val="24"/>
              </w:rPr>
            </w:pPr>
            <w:r>
              <w:rPr>
                <w:sz w:val="24"/>
              </w:rPr>
              <w:t>C</w:t>
            </w:r>
          </w:p>
        </w:tc>
      </w:tr>
      <w:tr>
        <w:trPr>
          <w:trHeight w:val="505" w:hRule="atLeast"/>
        </w:trPr>
        <w:tc>
          <w:tcPr>
            <w:tcW w:w="2766" w:type="dxa"/>
          </w:tcPr>
          <w:p>
            <w:pPr>
              <w:pStyle w:val="TableParagraph"/>
              <w:ind w:left="200"/>
              <w:rPr>
                <w:sz w:val="24"/>
              </w:rPr>
            </w:pPr>
            <w:r>
              <w:rPr>
                <w:sz w:val="24"/>
              </w:rPr>
              <w:t>Presidents Day</w:t>
            </w:r>
          </w:p>
        </w:tc>
        <w:tc>
          <w:tcPr>
            <w:tcW w:w="1262" w:type="dxa"/>
          </w:tcPr>
          <w:p>
            <w:pPr>
              <w:pStyle w:val="TableParagraph"/>
              <w:ind w:left="313"/>
              <w:rPr>
                <w:sz w:val="24"/>
              </w:rPr>
            </w:pPr>
            <w:r>
              <w:rPr>
                <w:sz w:val="24"/>
              </w:rPr>
              <w:t>Mon</w:t>
            </w:r>
          </w:p>
        </w:tc>
        <w:tc>
          <w:tcPr>
            <w:tcW w:w="2238" w:type="dxa"/>
          </w:tcPr>
          <w:p>
            <w:pPr>
              <w:pStyle w:val="TableParagraph"/>
              <w:ind w:left="491"/>
              <w:rPr>
                <w:sz w:val="24"/>
              </w:rPr>
            </w:pPr>
            <w:r>
              <w:rPr>
                <w:sz w:val="24"/>
              </w:rPr>
              <w:t>No</w:t>
            </w:r>
          </w:p>
        </w:tc>
        <w:tc>
          <w:tcPr>
            <w:tcW w:w="864" w:type="dxa"/>
          </w:tcPr>
          <w:p>
            <w:pPr>
              <w:pStyle w:val="TableParagraph"/>
              <w:ind w:right="287"/>
              <w:jc w:val="right"/>
              <w:rPr>
                <w:sz w:val="24"/>
              </w:rPr>
            </w:pPr>
            <w:r>
              <w:rPr>
                <w:sz w:val="24"/>
              </w:rPr>
              <w:t>C</w:t>
            </w:r>
          </w:p>
        </w:tc>
        <w:tc>
          <w:tcPr>
            <w:tcW w:w="721" w:type="dxa"/>
          </w:tcPr>
          <w:p>
            <w:pPr>
              <w:pStyle w:val="TableParagraph"/>
              <w:ind w:left="269"/>
              <w:rPr>
                <w:sz w:val="24"/>
              </w:rPr>
            </w:pPr>
            <w:r>
              <w:rPr>
                <w:sz w:val="24"/>
              </w:rPr>
              <w:t>C</w:t>
            </w:r>
          </w:p>
        </w:tc>
        <w:tc>
          <w:tcPr>
            <w:tcW w:w="648" w:type="dxa"/>
          </w:tcPr>
          <w:p>
            <w:pPr>
              <w:pStyle w:val="TableParagraph"/>
              <w:ind w:left="50"/>
              <w:jc w:val="center"/>
              <w:rPr>
                <w:sz w:val="24"/>
              </w:rPr>
            </w:pPr>
            <w:r>
              <w:rPr>
                <w:sz w:val="24"/>
              </w:rPr>
              <w:t>C</w:t>
            </w:r>
          </w:p>
        </w:tc>
      </w:tr>
      <w:tr>
        <w:trPr>
          <w:trHeight w:val="505" w:hRule="atLeast"/>
        </w:trPr>
        <w:tc>
          <w:tcPr>
            <w:tcW w:w="2766" w:type="dxa"/>
          </w:tcPr>
          <w:p>
            <w:pPr>
              <w:pStyle w:val="TableParagraph"/>
              <w:spacing w:before="109"/>
              <w:ind w:left="200"/>
              <w:rPr>
                <w:sz w:val="24"/>
              </w:rPr>
            </w:pPr>
            <w:r>
              <w:rPr>
                <w:sz w:val="24"/>
              </w:rPr>
              <w:t>Good Friday</w:t>
            </w:r>
          </w:p>
        </w:tc>
        <w:tc>
          <w:tcPr>
            <w:tcW w:w="1262" w:type="dxa"/>
          </w:tcPr>
          <w:p>
            <w:pPr>
              <w:pStyle w:val="TableParagraph"/>
              <w:spacing w:before="109"/>
              <w:ind w:left="313"/>
              <w:rPr>
                <w:sz w:val="24"/>
              </w:rPr>
            </w:pPr>
            <w:r>
              <w:rPr>
                <w:sz w:val="24"/>
              </w:rPr>
              <w:t>Fri</w:t>
            </w:r>
          </w:p>
        </w:tc>
        <w:tc>
          <w:tcPr>
            <w:tcW w:w="2238" w:type="dxa"/>
          </w:tcPr>
          <w:p>
            <w:pPr>
              <w:pStyle w:val="TableParagraph"/>
              <w:spacing w:before="109"/>
              <w:ind w:left="491"/>
              <w:rPr>
                <w:sz w:val="24"/>
              </w:rPr>
            </w:pPr>
            <w:r>
              <w:rPr>
                <w:sz w:val="24"/>
              </w:rPr>
              <w:t>No</w:t>
            </w:r>
          </w:p>
        </w:tc>
        <w:tc>
          <w:tcPr>
            <w:tcW w:w="864" w:type="dxa"/>
          </w:tcPr>
          <w:p>
            <w:pPr>
              <w:pStyle w:val="TableParagraph"/>
              <w:spacing w:before="109"/>
              <w:ind w:right="274"/>
              <w:jc w:val="right"/>
              <w:rPr>
                <w:sz w:val="24"/>
              </w:rPr>
            </w:pPr>
            <w:r>
              <w:rPr>
                <w:sz w:val="24"/>
              </w:rPr>
              <w:t>A</w:t>
            </w:r>
          </w:p>
        </w:tc>
        <w:tc>
          <w:tcPr>
            <w:tcW w:w="721" w:type="dxa"/>
          </w:tcPr>
          <w:p>
            <w:pPr>
              <w:pStyle w:val="TableParagraph"/>
              <w:spacing w:before="109"/>
              <w:ind w:left="269"/>
              <w:rPr>
                <w:sz w:val="24"/>
              </w:rPr>
            </w:pPr>
            <w:r>
              <w:rPr>
                <w:sz w:val="24"/>
              </w:rPr>
              <w:t>A</w:t>
            </w:r>
          </w:p>
        </w:tc>
        <w:tc>
          <w:tcPr>
            <w:tcW w:w="648" w:type="dxa"/>
          </w:tcPr>
          <w:p>
            <w:pPr>
              <w:pStyle w:val="TableParagraph"/>
              <w:spacing w:before="109"/>
              <w:ind w:left="50"/>
              <w:jc w:val="center"/>
              <w:rPr>
                <w:sz w:val="24"/>
              </w:rPr>
            </w:pPr>
            <w:r>
              <w:rPr>
                <w:sz w:val="24"/>
              </w:rPr>
              <w:t>C</w:t>
            </w:r>
          </w:p>
        </w:tc>
      </w:tr>
      <w:tr>
        <w:trPr>
          <w:trHeight w:val="506" w:hRule="atLeast"/>
        </w:trPr>
        <w:tc>
          <w:tcPr>
            <w:tcW w:w="2766" w:type="dxa"/>
          </w:tcPr>
          <w:p>
            <w:pPr>
              <w:pStyle w:val="TableParagraph"/>
              <w:ind w:left="200"/>
              <w:rPr>
                <w:sz w:val="24"/>
              </w:rPr>
            </w:pPr>
            <w:r>
              <w:rPr>
                <w:sz w:val="24"/>
              </w:rPr>
              <w:t>Memorial Day</w:t>
            </w:r>
          </w:p>
        </w:tc>
        <w:tc>
          <w:tcPr>
            <w:tcW w:w="1262" w:type="dxa"/>
          </w:tcPr>
          <w:p>
            <w:pPr>
              <w:pStyle w:val="TableParagraph"/>
              <w:ind w:left="313"/>
              <w:rPr>
                <w:sz w:val="24"/>
              </w:rPr>
            </w:pPr>
            <w:r>
              <w:rPr>
                <w:sz w:val="24"/>
              </w:rPr>
              <w:t>Mon</w:t>
            </w:r>
          </w:p>
        </w:tc>
        <w:tc>
          <w:tcPr>
            <w:tcW w:w="2238" w:type="dxa"/>
          </w:tcPr>
          <w:p>
            <w:pPr>
              <w:pStyle w:val="TableParagraph"/>
              <w:ind w:left="491"/>
              <w:rPr>
                <w:sz w:val="24"/>
              </w:rPr>
            </w:pPr>
            <w:r>
              <w:rPr>
                <w:sz w:val="24"/>
              </w:rPr>
              <w:t>No</w:t>
            </w:r>
          </w:p>
        </w:tc>
        <w:tc>
          <w:tcPr>
            <w:tcW w:w="864" w:type="dxa"/>
          </w:tcPr>
          <w:p>
            <w:pPr>
              <w:pStyle w:val="TableParagraph"/>
              <w:ind w:right="274"/>
              <w:jc w:val="right"/>
              <w:rPr>
                <w:sz w:val="24"/>
              </w:rPr>
            </w:pPr>
            <w:r>
              <w:rPr>
                <w:sz w:val="24"/>
              </w:rPr>
              <w:t>A</w:t>
            </w:r>
          </w:p>
        </w:tc>
        <w:tc>
          <w:tcPr>
            <w:tcW w:w="721" w:type="dxa"/>
          </w:tcPr>
          <w:p>
            <w:pPr>
              <w:pStyle w:val="TableParagraph"/>
              <w:ind w:left="269"/>
              <w:rPr>
                <w:sz w:val="24"/>
              </w:rPr>
            </w:pPr>
            <w:r>
              <w:rPr>
                <w:sz w:val="24"/>
              </w:rPr>
              <w:t>A</w:t>
            </w:r>
          </w:p>
        </w:tc>
        <w:tc>
          <w:tcPr>
            <w:tcW w:w="648" w:type="dxa"/>
          </w:tcPr>
          <w:p>
            <w:pPr>
              <w:pStyle w:val="TableParagraph"/>
              <w:ind w:left="63"/>
              <w:jc w:val="center"/>
              <w:rPr>
                <w:sz w:val="24"/>
              </w:rPr>
            </w:pPr>
            <w:r>
              <w:rPr>
                <w:sz w:val="24"/>
              </w:rPr>
              <w:t>A</w:t>
            </w:r>
          </w:p>
        </w:tc>
      </w:tr>
      <w:tr>
        <w:trPr>
          <w:trHeight w:val="506" w:hRule="atLeast"/>
        </w:trPr>
        <w:tc>
          <w:tcPr>
            <w:tcW w:w="2766" w:type="dxa"/>
          </w:tcPr>
          <w:p>
            <w:pPr>
              <w:pStyle w:val="TableParagraph"/>
              <w:ind w:left="200"/>
              <w:rPr>
                <w:sz w:val="24"/>
              </w:rPr>
            </w:pPr>
            <w:r>
              <w:rPr>
                <w:sz w:val="24"/>
              </w:rPr>
              <w:t>Independence Day</w:t>
            </w:r>
          </w:p>
        </w:tc>
        <w:tc>
          <w:tcPr>
            <w:tcW w:w="1262" w:type="dxa"/>
          </w:tcPr>
          <w:p>
            <w:pPr>
              <w:pStyle w:val="TableParagraph"/>
              <w:spacing w:before="0"/>
              <w:rPr>
                <w:sz w:val="22"/>
              </w:rPr>
            </w:pPr>
          </w:p>
        </w:tc>
        <w:tc>
          <w:tcPr>
            <w:tcW w:w="2238" w:type="dxa"/>
          </w:tcPr>
          <w:p>
            <w:pPr>
              <w:pStyle w:val="TableParagraph"/>
              <w:ind w:left="491"/>
              <w:rPr>
                <w:sz w:val="24"/>
              </w:rPr>
            </w:pPr>
            <w:r>
              <w:rPr>
                <w:sz w:val="24"/>
              </w:rPr>
              <w:t>No</w:t>
            </w:r>
          </w:p>
        </w:tc>
        <w:tc>
          <w:tcPr>
            <w:tcW w:w="864" w:type="dxa"/>
          </w:tcPr>
          <w:p>
            <w:pPr>
              <w:pStyle w:val="TableParagraph"/>
              <w:ind w:right="274"/>
              <w:jc w:val="right"/>
              <w:rPr>
                <w:sz w:val="24"/>
              </w:rPr>
            </w:pPr>
            <w:r>
              <w:rPr>
                <w:sz w:val="24"/>
              </w:rPr>
              <w:t>A</w:t>
            </w:r>
          </w:p>
        </w:tc>
        <w:tc>
          <w:tcPr>
            <w:tcW w:w="721" w:type="dxa"/>
          </w:tcPr>
          <w:p>
            <w:pPr>
              <w:pStyle w:val="TableParagraph"/>
              <w:ind w:left="269"/>
              <w:rPr>
                <w:sz w:val="24"/>
              </w:rPr>
            </w:pPr>
            <w:r>
              <w:rPr>
                <w:sz w:val="24"/>
              </w:rPr>
              <w:t>A</w:t>
            </w:r>
          </w:p>
        </w:tc>
        <w:tc>
          <w:tcPr>
            <w:tcW w:w="648" w:type="dxa"/>
          </w:tcPr>
          <w:p>
            <w:pPr>
              <w:pStyle w:val="TableParagraph"/>
              <w:ind w:left="63"/>
              <w:jc w:val="center"/>
              <w:rPr>
                <w:sz w:val="24"/>
              </w:rPr>
            </w:pPr>
            <w:r>
              <w:rPr>
                <w:sz w:val="24"/>
              </w:rPr>
              <w:t>A</w:t>
            </w:r>
          </w:p>
        </w:tc>
      </w:tr>
      <w:tr>
        <w:trPr>
          <w:trHeight w:val="505" w:hRule="atLeast"/>
        </w:trPr>
        <w:tc>
          <w:tcPr>
            <w:tcW w:w="2766" w:type="dxa"/>
          </w:tcPr>
          <w:p>
            <w:pPr>
              <w:pStyle w:val="TableParagraph"/>
              <w:ind w:left="200"/>
              <w:rPr>
                <w:sz w:val="24"/>
              </w:rPr>
            </w:pPr>
            <w:r>
              <w:rPr>
                <w:sz w:val="24"/>
              </w:rPr>
              <w:t>Labor Day</w:t>
            </w:r>
          </w:p>
        </w:tc>
        <w:tc>
          <w:tcPr>
            <w:tcW w:w="1262" w:type="dxa"/>
          </w:tcPr>
          <w:p>
            <w:pPr>
              <w:pStyle w:val="TableParagraph"/>
              <w:ind w:left="313"/>
              <w:rPr>
                <w:sz w:val="24"/>
              </w:rPr>
            </w:pPr>
            <w:r>
              <w:rPr>
                <w:sz w:val="24"/>
              </w:rPr>
              <w:t>Mon</w:t>
            </w:r>
          </w:p>
        </w:tc>
        <w:tc>
          <w:tcPr>
            <w:tcW w:w="2238" w:type="dxa"/>
          </w:tcPr>
          <w:p>
            <w:pPr>
              <w:pStyle w:val="TableParagraph"/>
              <w:ind w:left="491"/>
              <w:rPr>
                <w:sz w:val="24"/>
              </w:rPr>
            </w:pPr>
            <w:r>
              <w:rPr>
                <w:sz w:val="24"/>
              </w:rPr>
              <w:t>Yes</w:t>
            </w:r>
          </w:p>
        </w:tc>
        <w:tc>
          <w:tcPr>
            <w:tcW w:w="864" w:type="dxa"/>
          </w:tcPr>
          <w:p>
            <w:pPr>
              <w:pStyle w:val="TableParagraph"/>
              <w:ind w:right="274"/>
              <w:jc w:val="right"/>
              <w:rPr>
                <w:sz w:val="24"/>
              </w:rPr>
            </w:pPr>
            <w:r>
              <w:rPr>
                <w:sz w:val="24"/>
              </w:rPr>
              <w:t>A</w:t>
            </w:r>
          </w:p>
        </w:tc>
        <w:tc>
          <w:tcPr>
            <w:tcW w:w="721" w:type="dxa"/>
          </w:tcPr>
          <w:p>
            <w:pPr>
              <w:pStyle w:val="TableParagraph"/>
              <w:ind w:left="269"/>
              <w:rPr>
                <w:sz w:val="24"/>
              </w:rPr>
            </w:pPr>
            <w:r>
              <w:rPr>
                <w:sz w:val="24"/>
              </w:rPr>
              <w:t>A</w:t>
            </w:r>
          </w:p>
        </w:tc>
        <w:tc>
          <w:tcPr>
            <w:tcW w:w="648" w:type="dxa"/>
          </w:tcPr>
          <w:p>
            <w:pPr>
              <w:pStyle w:val="TableParagraph"/>
              <w:ind w:left="63"/>
              <w:jc w:val="center"/>
              <w:rPr>
                <w:sz w:val="24"/>
              </w:rPr>
            </w:pPr>
            <w:r>
              <w:rPr>
                <w:sz w:val="24"/>
              </w:rPr>
              <w:t>A</w:t>
            </w:r>
          </w:p>
        </w:tc>
      </w:tr>
      <w:tr>
        <w:trPr>
          <w:trHeight w:val="505" w:hRule="atLeast"/>
        </w:trPr>
        <w:tc>
          <w:tcPr>
            <w:tcW w:w="2766" w:type="dxa"/>
          </w:tcPr>
          <w:p>
            <w:pPr>
              <w:pStyle w:val="TableParagraph"/>
              <w:spacing w:before="109"/>
              <w:ind w:left="200"/>
              <w:rPr>
                <w:sz w:val="24"/>
              </w:rPr>
            </w:pPr>
            <w:r>
              <w:rPr>
                <w:sz w:val="24"/>
              </w:rPr>
              <w:t>Columbus Day</w:t>
            </w:r>
          </w:p>
        </w:tc>
        <w:tc>
          <w:tcPr>
            <w:tcW w:w="1262" w:type="dxa"/>
          </w:tcPr>
          <w:p>
            <w:pPr>
              <w:pStyle w:val="TableParagraph"/>
              <w:spacing w:before="109"/>
              <w:ind w:left="313"/>
              <w:rPr>
                <w:sz w:val="24"/>
              </w:rPr>
            </w:pPr>
            <w:r>
              <w:rPr>
                <w:sz w:val="24"/>
              </w:rPr>
              <w:t>Mon</w:t>
            </w:r>
          </w:p>
        </w:tc>
        <w:tc>
          <w:tcPr>
            <w:tcW w:w="2238" w:type="dxa"/>
          </w:tcPr>
          <w:p>
            <w:pPr>
              <w:pStyle w:val="TableParagraph"/>
              <w:spacing w:before="109"/>
              <w:ind w:left="491"/>
              <w:rPr>
                <w:sz w:val="24"/>
              </w:rPr>
            </w:pPr>
            <w:r>
              <w:rPr>
                <w:sz w:val="24"/>
              </w:rPr>
              <w:t>No</w:t>
            </w:r>
          </w:p>
        </w:tc>
        <w:tc>
          <w:tcPr>
            <w:tcW w:w="864" w:type="dxa"/>
          </w:tcPr>
          <w:p>
            <w:pPr>
              <w:pStyle w:val="TableParagraph"/>
              <w:spacing w:before="109"/>
              <w:ind w:right="287"/>
              <w:jc w:val="right"/>
              <w:rPr>
                <w:sz w:val="24"/>
              </w:rPr>
            </w:pPr>
            <w:r>
              <w:rPr>
                <w:sz w:val="24"/>
              </w:rPr>
              <w:t>C</w:t>
            </w:r>
          </w:p>
        </w:tc>
        <w:tc>
          <w:tcPr>
            <w:tcW w:w="721" w:type="dxa"/>
          </w:tcPr>
          <w:p>
            <w:pPr>
              <w:pStyle w:val="TableParagraph"/>
              <w:spacing w:before="109"/>
              <w:ind w:left="269"/>
              <w:rPr>
                <w:sz w:val="24"/>
              </w:rPr>
            </w:pPr>
            <w:r>
              <w:rPr>
                <w:sz w:val="24"/>
              </w:rPr>
              <w:t>C</w:t>
            </w:r>
          </w:p>
        </w:tc>
        <w:tc>
          <w:tcPr>
            <w:tcW w:w="648" w:type="dxa"/>
          </w:tcPr>
          <w:p>
            <w:pPr>
              <w:pStyle w:val="TableParagraph"/>
              <w:spacing w:before="109"/>
              <w:ind w:left="50"/>
              <w:jc w:val="center"/>
              <w:rPr>
                <w:sz w:val="24"/>
              </w:rPr>
            </w:pPr>
            <w:r>
              <w:rPr>
                <w:sz w:val="24"/>
              </w:rPr>
              <w:t>C</w:t>
            </w:r>
          </w:p>
        </w:tc>
      </w:tr>
      <w:tr>
        <w:trPr>
          <w:trHeight w:val="506" w:hRule="atLeast"/>
        </w:trPr>
        <w:tc>
          <w:tcPr>
            <w:tcW w:w="2766" w:type="dxa"/>
          </w:tcPr>
          <w:p>
            <w:pPr>
              <w:pStyle w:val="TableParagraph"/>
              <w:ind w:left="200"/>
              <w:rPr>
                <w:sz w:val="24"/>
              </w:rPr>
            </w:pPr>
            <w:r>
              <w:rPr>
                <w:sz w:val="24"/>
              </w:rPr>
              <w:t>Veterans Day</w:t>
            </w:r>
          </w:p>
        </w:tc>
        <w:tc>
          <w:tcPr>
            <w:tcW w:w="1262" w:type="dxa"/>
          </w:tcPr>
          <w:p>
            <w:pPr>
              <w:pStyle w:val="TableParagraph"/>
              <w:spacing w:before="0"/>
              <w:rPr>
                <w:sz w:val="22"/>
              </w:rPr>
            </w:pPr>
          </w:p>
        </w:tc>
        <w:tc>
          <w:tcPr>
            <w:tcW w:w="2238" w:type="dxa"/>
          </w:tcPr>
          <w:p>
            <w:pPr>
              <w:pStyle w:val="TableParagraph"/>
              <w:ind w:left="491"/>
              <w:rPr>
                <w:sz w:val="24"/>
              </w:rPr>
            </w:pPr>
            <w:r>
              <w:rPr>
                <w:sz w:val="24"/>
              </w:rPr>
              <w:t>No</w:t>
            </w:r>
          </w:p>
        </w:tc>
        <w:tc>
          <w:tcPr>
            <w:tcW w:w="864" w:type="dxa"/>
          </w:tcPr>
          <w:p>
            <w:pPr>
              <w:pStyle w:val="TableParagraph"/>
              <w:ind w:right="287"/>
              <w:jc w:val="right"/>
              <w:rPr>
                <w:sz w:val="24"/>
              </w:rPr>
            </w:pPr>
            <w:r>
              <w:rPr>
                <w:sz w:val="24"/>
              </w:rPr>
              <w:t>C</w:t>
            </w:r>
          </w:p>
        </w:tc>
        <w:tc>
          <w:tcPr>
            <w:tcW w:w="721" w:type="dxa"/>
          </w:tcPr>
          <w:p>
            <w:pPr>
              <w:pStyle w:val="TableParagraph"/>
              <w:ind w:left="269"/>
              <w:rPr>
                <w:sz w:val="24"/>
              </w:rPr>
            </w:pPr>
            <w:r>
              <w:rPr>
                <w:sz w:val="24"/>
              </w:rPr>
              <w:t>C</w:t>
            </w:r>
          </w:p>
        </w:tc>
        <w:tc>
          <w:tcPr>
            <w:tcW w:w="648" w:type="dxa"/>
          </w:tcPr>
          <w:p>
            <w:pPr>
              <w:pStyle w:val="TableParagraph"/>
              <w:ind w:left="50"/>
              <w:jc w:val="center"/>
              <w:rPr>
                <w:sz w:val="24"/>
              </w:rPr>
            </w:pPr>
            <w:r>
              <w:rPr>
                <w:sz w:val="24"/>
              </w:rPr>
              <w:t>C</w:t>
            </w:r>
          </w:p>
        </w:tc>
      </w:tr>
      <w:tr>
        <w:trPr>
          <w:trHeight w:val="506" w:hRule="atLeast"/>
        </w:trPr>
        <w:tc>
          <w:tcPr>
            <w:tcW w:w="2766" w:type="dxa"/>
          </w:tcPr>
          <w:p>
            <w:pPr>
              <w:pStyle w:val="TableParagraph"/>
              <w:ind w:left="200"/>
              <w:rPr>
                <w:sz w:val="24"/>
              </w:rPr>
            </w:pPr>
            <w:r>
              <w:rPr>
                <w:sz w:val="24"/>
              </w:rPr>
              <w:t>Thanksgiving Eve</w:t>
            </w:r>
          </w:p>
        </w:tc>
        <w:tc>
          <w:tcPr>
            <w:tcW w:w="1262" w:type="dxa"/>
          </w:tcPr>
          <w:p>
            <w:pPr>
              <w:pStyle w:val="TableParagraph"/>
              <w:ind w:left="313"/>
              <w:rPr>
                <w:sz w:val="24"/>
              </w:rPr>
            </w:pPr>
            <w:r>
              <w:rPr>
                <w:sz w:val="24"/>
              </w:rPr>
              <w:t>Wed</w:t>
            </w:r>
          </w:p>
        </w:tc>
        <w:tc>
          <w:tcPr>
            <w:tcW w:w="2238" w:type="dxa"/>
          </w:tcPr>
          <w:p>
            <w:pPr>
              <w:pStyle w:val="TableParagraph"/>
              <w:ind w:left="491"/>
              <w:rPr>
                <w:sz w:val="24"/>
              </w:rPr>
            </w:pPr>
            <w:r>
              <w:rPr>
                <w:sz w:val="24"/>
              </w:rPr>
              <w:t>No</w:t>
            </w:r>
          </w:p>
        </w:tc>
        <w:tc>
          <w:tcPr>
            <w:tcW w:w="864" w:type="dxa"/>
          </w:tcPr>
          <w:p>
            <w:pPr>
              <w:pStyle w:val="TableParagraph"/>
              <w:ind w:right="287"/>
              <w:jc w:val="right"/>
              <w:rPr>
                <w:sz w:val="24"/>
              </w:rPr>
            </w:pPr>
            <w:r>
              <w:rPr>
                <w:sz w:val="24"/>
              </w:rPr>
              <w:t>B</w:t>
            </w:r>
          </w:p>
        </w:tc>
        <w:tc>
          <w:tcPr>
            <w:tcW w:w="721" w:type="dxa"/>
          </w:tcPr>
          <w:p>
            <w:pPr>
              <w:pStyle w:val="TableParagraph"/>
              <w:ind w:left="269"/>
              <w:rPr>
                <w:sz w:val="24"/>
              </w:rPr>
            </w:pPr>
            <w:r>
              <w:rPr>
                <w:sz w:val="24"/>
              </w:rPr>
              <w:t>D</w:t>
            </w:r>
          </w:p>
        </w:tc>
        <w:tc>
          <w:tcPr>
            <w:tcW w:w="648" w:type="dxa"/>
          </w:tcPr>
          <w:p>
            <w:pPr>
              <w:pStyle w:val="TableParagraph"/>
              <w:ind w:left="63"/>
              <w:jc w:val="center"/>
              <w:rPr>
                <w:sz w:val="24"/>
              </w:rPr>
            </w:pPr>
            <w:r>
              <w:rPr>
                <w:sz w:val="24"/>
              </w:rPr>
              <w:t>D</w:t>
            </w:r>
          </w:p>
        </w:tc>
      </w:tr>
      <w:tr>
        <w:trPr>
          <w:trHeight w:val="503" w:hRule="atLeast"/>
        </w:trPr>
        <w:tc>
          <w:tcPr>
            <w:tcW w:w="2766" w:type="dxa"/>
          </w:tcPr>
          <w:p>
            <w:pPr>
              <w:pStyle w:val="TableParagraph"/>
              <w:ind w:left="200"/>
              <w:rPr>
                <w:sz w:val="24"/>
              </w:rPr>
            </w:pPr>
            <w:r>
              <w:rPr>
                <w:sz w:val="24"/>
              </w:rPr>
              <w:t>Thanksgiving</w:t>
            </w:r>
          </w:p>
        </w:tc>
        <w:tc>
          <w:tcPr>
            <w:tcW w:w="1262" w:type="dxa"/>
          </w:tcPr>
          <w:p>
            <w:pPr>
              <w:pStyle w:val="TableParagraph"/>
              <w:ind w:left="313"/>
              <w:rPr>
                <w:sz w:val="24"/>
              </w:rPr>
            </w:pPr>
            <w:r>
              <w:rPr>
                <w:sz w:val="24"/>
              </w:rPr>
              <w:t>Thu</w:t>
            </w:r>
          </w:p>
        </w:tc>
        <w:tc>
          <w:tcPr>
            <w:tcW w:w="2238" w:type="dxa"/>
          </w:tcPr>
          <w:p>
            <w:pPr>
              <w:pStyle w:val="TableParagraph"/>
              <w:ind w:left="491"/>
              <w:rPr>
                <w:sz w:val="24"/>
              </w:rPr>
            </w:pPr>
            <w:r>
              <w:rPr>
                <w:sz w:val="24"/>
              </w:rPr>
              <w:t>Yes</w:t>
            </w:r>
          </w:p>
        </w:tc>
        <w:tc>
          <w:tcPr>
            <w:tcW w:w="864" w:type="dxa"/>
          </w:tcPr>
          <w:p>
            <w:pPr>
              <w:pStyle w:val="TableParagraph"/>
              <w:ind w:right="274"/>
              <w:jc w:val="right"/>
              <w:rPr>
                <w:sz w:val="24"/>
              </w:rPr>
            </w:pPr>
            <w:r>
              <w:rPr>
                <w:sz w:val="24"/>
              </w:rPr>
              <w:t>A</w:t>
            </w:r>
          </w:p>
        </w:tc>
        <w:tc>
          <w:tcPr>
            <w:tcW w:w="721" w:type="dxa"/>
          </w:tcPr>
          <w:p>
            <w:pPr>
              <w:pStyle w:val="TableParagraph"/>
              <w:ind w:left="269"/>
              <w:rPr>
                <w:sz w:val="24"/>
              </w:rPr>
            </w:pPr>
            <w:r>
              <w:rPr>
                <w:sz w:val="24"/>
              </w:rPr>
              <w:t>A</w:t>
            </w:r>
          </w:p>
        </w:tc>
        <w:tc>
          <w:tcPr>
            <w:tcW w:w="648" w:type="dxa"/>
          </w:tcPr>
          <w:p>
            <w:pPr>
              <w:pStyle w:val="TableParagraph"/>
              <w:ind w:left="63"/>
              <w:jc w:val="center"/>
              <w:rPr>
                <w:sz w:val="24"/>
              </w:rPr>
            </w:pPr>
            <w:r>
              <w:rPr>
                <w:sz w:val="24"/>
              </w:rPr>
              <w:t>A</w:t>
            </w:r>
          </w:p>
        </w:tc>
      </w:tr>
      <w:tr>
        <w:trPr>
          <w:trHeight w:val="493" w:hRule="atLeast"/>
        </w:trPr>
        <w:tc>
          <w:tcPr>
            <w:tcW w:w="2766" w:type="dxa"/>
          </w:tcPr>
          <w:p>
            <w:pPr>
              <w:pStyle w:val="TableParagraph"/>
              <w:spacing w:before="107"/>
              <w:ind w:left="200"/>
              <w:rPr>
                <w:sz w:val="24"/>
              </w:rPr>
            </w:pPr>
            <w:r>
              <w:rPr>
                <w:sz w:val="24"/>
              </w:rPr>
              <w:t>Black Friday</w:t>
            </w:r>
          </w:p>
        </w:tc>
        <w:tc>
          <w:tcPr>
            <w:tcW w:w="1262" w:type="dxa"/>
          </w:tcPr>
          <w:p>
            <w:pPr>
              <w:pStyle w:val="TableParagraph"/>
              <w:spacing w:before="107"/>
              <w:ind w:left="313"/>
              <w:rPr>
                <w:sz w:val="24"/>
              </w:rPr>
            </w:pPr>
            <w:r>
              <w:rPr>
                <w:sz w:val="24"/>
              </w:rPr>
              <w:t>Fri</w:t>
            </w:r>
          </w:p>
        </w:tc>
        <w:tc>
          <w:tcPr>
            <w:tcW w:w="2238" w:type="dxa"/>
          </w:tcPr>
          <w:p>
            <w:pPr>
              <w:pStyle w:val="TableParagraph"/>
              <w:spacing w:before="107"/>
              <w:ind w:left="491"/>
              <w:rPr>
                <w:sz w:val="24"/>
              </w:rPr>
            </w:pPr>
            <w:r>
              <w:rPr>
                <w:sz w:val="24"/>
              </w:rPr>
              <w:t>No</w:t>
            </w:r>
          </w:p>
        </w:tc>
        <w:tc>
          <w:tcPr>
            <w:tcW w:w="864" w:type="dxa"/>
          </w:tcPr>
          <w:p>
            <w:pPr>
              <w:pStyle w:val="TableParagraph"/>
              <w:spacing w:before="107"/>
              <w:ind w:right="287"/>
              <w:jc w:val="right"/>
              <w:rPr>
                <w:sz w:val="24"/>
              </w:rPr>
            </w:pPr>
            <w:r>
              <w:rPr>
                <w:sz w:val="24"/>
              </w:rPr>
              <w:t>C</w:t>
            </w:r>
          </w:p>
        </w:tc>
        <w:tc>
          <w:tcPr>
            <w:tcW w:w="721" w:type="dxa"/>
          </w:tcPr>
          <w:p>
            <w:pPr>
              <w:pStyle w:val="TableParagraph"/>
              <w:spacing w:before="107"/>
              <w:ind w:left="269"/>
              <w:rPr>
                <w:sz w:val="24"/>
              </w:rPr>
            </w:pPr>
            <w:r>
              <w:rPr>
                <w:sz w:val="24"/>
              </w:rPr>
              <w:t>E</w:t>
            </w:r>
          </w:p>
        </w:tc>
        <w:tc>
          <w:tcPr>
            <w:tcW w:w="648" w:type="dxa"/>
          </w:tcPr>
          <w:p>
            <w:pPr>
              <w:pStyle w:val="TableParagraph"/>
              <w:spacing w:before="107"/>
              <w:ind w:left="23"/>
              <w:jc w:val="center"/>
              <w:rPr>
                <w:sz w:val="24"/>
              </w:rPr>
            </w:pPr>
            <w:r>
              <w:rPr>
                <w:sz w:val="24"/>
              </w:rPr>
              <w:t>F</w:t>
            </w:r>
          </w:p>
        </w:tc>
      </w:tr>
      <w:tr>
        <w:trPr>
          <w:trHeight w:val="517" w:hRule="atLeast"/>
        </w:trPr>
        <w:tc>
          <w:tcPr>
            <w:tcW w:w="2766" w:type="dxa"/>
          </w:tcPr>
          <w:p>
            <w:pPr>
              <w:pStyle w:val="TableParagraph"/>
              <w:spacing w:before="105"/>
              <w:ind w:left="200"/>
              <w:rPr>
                <w:sz w:val="24"/>
              </w:rPr>
            </w:pPr>
            <w:r>
              <w:rPr>
                <w:sz w:val="24"/>
              </w:rPr>
              <w:t>1</w:t>
            </w:r>
            <w:r>
              <w:rPr>
                <w:position w:val="9"/>
                <w:sz w:val="16"/>
              </w:rPr>
              <w:t>st </w:t>
            </w:r>
            <w:r>
              <w:rPr>
                <w:sz w:val="24"/>
              </w:rPr>
              <w:t>Day of Buck Season</w:t>
            </w:r>
          </w:p>
        </w:tc>
        <w:tc>
          <w:tcPr>
            <w:tcW w:w="1262" w:type="dxa"/>
          </w:tcPr>
          <w:p>
            <w:pPr>
              <w:pStyle w:val="TableParagraph"/>
              <w:spacing w:before="120"/>
              <w:ind w:left="313"/>
              <w:rPr>
                <w:sz w:val="24"/>
              </w:rPr>
            </w:pPr>
            <w:r>
              <w:rPr>
                <w:sz w:val="24"/>
              </w:rPr>
              <w:t>Mon</w:t>
            </w:r>
          </w:p>
        </w:tc>
        <w:tc>
          <w:tcPr>
            <w:tcW w:w="2238" w:type="dxa"/>
          </w:tcPr>
          <w:p>
            <w:pPr>
              <w:pStyle w:val="TableParagraph"/>
              <w:spacing w:before="120"/>
              <w:ind w:left="491"/>
              <w:rPr>
                <w:sz w:val="24"/>
              </w:rPr>
            </w:pPr>
            <w:r>
              <w:rPr>
                <w:sz w:val="24"/>
              </w:rPr>
              <w:t>No</w:t>
            </w:r>
          </w:p>
        </w:tc>
        <w:tc>
          <w:tcPr>
            <w:tcW w:w="864" w:type="dxa"/>
          </w:tcPr>
          <w:p>
            <w:pPr>
              <w:pStyle w:val="TableParagraph"/>
              <w:spacing w:before="120"/>
              <w:ind w:right="287"/>
              <w:jc w:val="right"/>
              <w:rPr>
                <w:sz w:val="24"/>
              </w:rPr>
            </w:pPr>
            <w:r>
              <w:rPr>
                <w:sz w:val="24"/>
              </w:rPr>
              <w:t>C</w:t>
            </w:r>
          </w:p>
        </w:tc>
        <w:tc>
          <w:tcPr>
            <w:tcW w:w="721" w:type="dxa"/>
          </w:tcPr>
          <w:p>
            <w:pPr>
              <w:pStyle w:val="TableParagraph"/>
              <w:spacing w:before="120"/>
              <w:ind w:left="269"/>
              <w:rPr>
                <w:sz w:val="24"/>
              </w:rPr>
            </w:pPr>
            <w:r>
              <w:rPr>
                <w:sz w:val="24"/>
              </w:rPr>
              <w:t>C</w:t>
            </w:r>
          </w:p>
        </w:tc>
        <w:tc>
          <w:tcPr>
            <w:tcW w:w="648" w:type="dxa"/>
          </w:tcPr>
          <w:p>
            <w:pPr>
              <w:pStyle w:val="TableParagraph"/>
              <w:spacing w:before="120"/>
              <w:ind w:left="50"/>
              <w:jc w:val="center"/>
              <w:rPr>
                <w:sz w:val="24"/>
              </w:rPr>
            </w:pPr>
            <w:r>
              <w:rPr>
                <w:sz w:val="24"/>
              </w:rPr>
              <w:t>C</w:t>
            </w:r>
          </w:p>
        </w:tc>
      </w:tr>
      <w:tr>
        <w:trPr>
          <w:trHeight w:val="507" w:hRule="atLeast"/>
        </w:trPr>
        <w:tc>
          <w:tcPr>
            <w:tcW w:w="2766" w:type="dxa"/>
          </w:tcPr>
          <w:p>
            <w:pPr>
              <w:pStyle w:val="TableParagraph"/>
              <w:spacing w:before="111"/>
              <w:ind w:left="200"/>
              <w:rPr>
                <w:sz w:val="24"/>
              </w:rPr>
            </w:pPr>
            <w:r>
              <w:rPr>
                <w:sz w:val="24"/>
              </w:rPr>
              <w:t>Christmas Eve</w:t>
            </w:r>
          </w:p>
        </w:tc>
        <w:tc>
          <w:tcPr>
            <w:tcW w:w="1262" w:type="dxa"/>
          </w:tcPr>
          <w:p>
            <w:pPr>
              <w:pStyle w:val="TableParagraph"/>
              <w:spacing w:before="0"/>
              <w:rPr>
                <w:sz w:val="22"/>
              </w:rPr>
            </w:pPr>
          </w:p>
        </w:tc>
        <w:tc>
          <w:tcPr>
            <w:tcW w:w="2238" w:type="dxa"/>
          </w:tcPr>
          <w:p>
            <w:pPr>
              <w:pStyle w:val="TableParagraph"/>
              <w:spacing w:before="111"/>
              <w:ind w:left="491"/>
              <w:rPr>
                <w:sz w:val="24"/>
              </w:rPr>
            </w:pPr>
            <w:r>
              <w:rPr>
                <w:sz w:val="24"/>
              </w:rPr>
              <w:t>No</w:t>
            </w:r>
          </w:p>
        </w:tc>
        <w:tc>
          <w:tcPr>
            <w:tcW w:w="864" w:type="dxa"/>
          </w:tcPr>
          <w:p>
            <w:pPr>
              <w:pStyle w:val="TableParagraph"/>
              <w:spacing w:before="111"/>
              <w:ind w:right="274"/>
              <w:jc w:val="right"/>
              <w:rPr>
                <w:sz w:val="24"/>
              </w:rPr>
            </w:pPr>
            <w:r>
              <w:rPr>
                <w:sz w:val="24"/>
              </w:rPr>
              <w:t>A</w:t>
            </w:r>
          </w:p>
        </w:tc>
        <w:tc>
          <w:tcPr>
            <w:tcW w:w="721" w:type="dxa"/>
          </w:tcPr>
          <w:p>
            <w:pPr>
              <w:pStyle w:val="TableParagraph"/>
              <w:spacing w:before="111"/>
              <w:ind w:left="269"/>
              <w:rPr>
                <w:sz w:val="24"/>
              </w:rPr>
            </w:pPr>
            <w:r>
              <w:rPr>
                <w:sz w:val="24"/>
              </w:rPr>
              <w:t>A</w:t>
            </w:r>
          </w:p>
        </w:tc>
        <w:tc>
          <w:tcPr>
            <w:tcW w:w="648" w:type="dxa"/>
          </w:tcPr>
          <w:p>
            <w:pPr>
              <w:pStyle w:val="TableParagraph"/>
              <w:spacing w:before="111"/>
              <w:ind w:left="63"/>
              <w:jc w:val="center"/>
              <w:rPr>
                <w:sz w:val="24"/>
              </w:rPr>
            </w:pPr>
            <w:r>
              <w:rPr>
                <w:sz w:val="24"/>
              </w:rPr>
              <w:t>A</w:t>
            </w:r>
          </w:p>
        </w:tc>
      </w:tr>
      <w:tr>
        <w:trPr>
          <w:trHeight w:val="534" w:hRule="atLeast"/>
        </w:trPr>
        <w:tc>
          <w:tcPr>
            <w:tcW w:w="2766" w:type="dxa"/>
          </w:tcPr>
          <w:p>
            <w:pPr>
              <w:pStyle w:val="TableParagraph"/>
              <w:ind w:left="200"/>
              <w:rPr>
                <w:sz w:val="24"/>
              </w:rPr>
            </w:pPr>
            <w:r>
              <w:rPr>
                <w:sz w:val="24"/>
              </w:rPr>
              <w:t>Christmas Day</w:t>
            </w:r>
          </w:p>
        </w:tc>
        <w:tc>
          <w:tcPr>
            <w:tcW w:w="1262" w:type="dxa"/>
          </w:tcPr>
          <w:p>
            <w:pPr>
              <w:pStyle w:val="TableParagraph"/>
              <w:spacing w:before="0"/>
              <w:rPr>
                <w:sz w:val="22"/>
              </w:rPr>
            </w:pPr>
          </w:p>
        </w:tc>
        <w:tc>
          <w:tcPr>
            <w:tcW w:w="2238" w:type="dxa"/>
          </w:tcPr>
          <w:p>
            <w:pPr>
              <w:pStyle w:val="TableParagraph"/>
              <w:ind w:left="491"/>
              <w:rPr>
                <w:sz w:val="24"/>
              </w:rPr>
            </w:pPr>
            <w:r>
              <w:rPr>
                <w:sz w:val="24"/>
              </w:rPr>
              <w:t>Yes</w:t>
            </w:r>
          </w:p>
        </w:tc>
        <w:tc>
          <w:tcPr>
            <w:tcW w:w="864" w:type="dxa"/>
          </w:tcPr>
          <w:p>
            <w:pPr>
              <w:pStyle w:val="TableParagraph"/>
              <w:ind w:right="274"/>
              <w:jc w:val="right"/>
              <w:rPr>
                <w:sz w:val="24"/>
              </w:rPr>
            </w:pPr>
            <w:r>
              <w:rPr>
                <w:sz w:val="24"/>
              </w:rPr>
              <w:t>A</w:t>
            </w:r>
          </w:p>
        </w:tc>
        <w:tc>
          <w:tcPr>
            <w:tcW w:w="721" w:type="dxa"/>
          </w:tcPr>
          <w:p>
            <w:pPr>
              <w:pStyle w:val="TableParagraph"/>
              <w:ind w:left="269"/>
              <w:rPr>
                <w:sz w:val="24"/>
              </w:rPr>
            </w:pPr>
            <w:r>
              <w:rPr>
                <w:sz w:val="24"/>
              </w:rPr>
              <w:t>A</w:t>
            </w:r>
          </w:p>
        </w:tc>
        <w:tc>
          <w:tcPr>
            <w:tcW w:w="648" w:type="dxa"/>
          </w:tcPr>
          <w:p>
            <w:pPr>
              <w:pStyle w:val="TableParagraph"/>
              <w:ind w:left="63"/>
              <w:jc w:val="center"/>
              <w:rPr>
                <w:sz w:val="24"/>
              </w:rPr>
            </w:pPr>
            <w:r>
              <w:rPr>
                <w:sz w:val="24"/>
              </w:rPr>
              <w:t>A</w:t>
            </w:r>
          </w:p>
        </w:tc>
      </w:tr>
      <w:tr>
        <w:trPr>
          <w:trHeight w:val="413" w:hRule="atLeast"/>
        </w:trPr>
        <w:tc>
          <w:tcPr>
            <w:tcW w:w="2766" w:type="dxa"/>
          </w:tcPr>
          <w:p>
            <w:pPr>
              <w:pStyle w:val="TableParagraph"/>
              <w:spacing w:line="256" w:lineRule="exact" w:before="137"/>
              <w:ind w:left="200"/>
              <w:rPr>
                <w:sz w:val="24"/>
              </w:rPr>
            </w:pPr>
            <w:r>
              <w:rPr>
                <w:sz w:val="24"/>
              </w:rPr>
              <w:t>New Year’s Eve</w:t>
            </w:r>
          </w:p>
        </w:tc>
        <w:tc>
          <w:tcPr>
            <w:tcW w:w="1262" w:type="dxa"/>
          </w:tcPr>
          <w:p>
            <w:pPr>
              <w:pStyle w:val="TableParagraph"/>
              <w:spacing w:before="0"/>
              <w:rPr>
                <w:sz w:val="22"/>
              </w:rPr>
            </w:pPr>
          </w:p>
        </w:tc>
        <w:tc>
          <w:tcPr>
            <w:tcW w:w="2238" w:type="dxa"/>
          </w:tcPr>
          <w:p>
            <w:pPr>
              <w:pStyle w:val="TableParagraph"/>
              <w:spacing w:line="256" w:lineRule="exact" w:before="137"/>
              <w:ind w:left="491"/>
              <w:rPr>
                <w:sz w:val="24"/>
              </w:rPr>
            </w:pPr>
            <w:r>
              <w:rPr>
                <w:sz w:val="24"/>
              </w:rPr>
              <w:t>No</w:t>
            </w:r>
          </w:p>
        </w:tc>
        <w:tc>
          <w:tcPr>
            <w:tcW w:w="864" w:type="dxa"/>
          </w:tcPr>
          <w:p>
            <w:pPr>
              <w:pStyle w:val="TableParagraph"/>
              <w:spacing w:line="256" w:lineRule="exact" w:before="137"/>
              <w:ind w:right="274"/>
              <w:jc w:val="right"/>
              <w:rPr>
                <w:sz w:val="24"/>
              </w:rPr>
            </w:pPr>
            <w:r>
              <w:rPr>
                <w:sz w:val="24"/>
              </w:rPr>
              <w:t>A</w:t>
            </w:r>
          </w:p>
        </w:tc>
        <w:tc>
          <w:tcPr>
            <w:tcW w:w="721" w:type="dxa"/>
          </w:tcPr>
          <w:p>
            <w:pPr>
              <w:pStyle w:val="TableParagraph"/>
              <w:spacing w:line="256" w:lineRule="exact" w:before="137"/>
              <w:ind w:left="269"/>
              <w:rPr>
                <w:sz w:val="24"/>
              </w:rPr>
            </w:pPr>
            <w:r>
              <w:rPr>
                <w:sz w:val="24"/>
              </w:rPr>
              <w:t>A</w:t>
            </w:r>
          </w:p>
        </w:tc>
        <w:tc>
          <w:tcPr>
            <w:tcW w:w="648" w:type="dxa"/>
          </w:tcPr>
          <w:p>
            <w:pPr>
              <w:pStyle w:val="TableParagraph"/>
              <w:spacing w:line="256" w:lineRule="exact" w:before="137"/>
              <w:ind w:left="63"/>
              <w:jc w:val="center"/>
              <w:rPr>
                <w:sz w:val="24"/>
              </w:rPr>
            </w:pPr>
            <w:r>
              <w:rPr>
                <w:sz w:val="24"/>
              </w:rPr>
              <w:t>A</w:t>
            </w:r>
          </w:p>
        </w:tc>
      </w:tr>
    </w:tbl>
    <w:p>
      <w:pPr>
        <w:spacing w:after="0" w:line="256" w:lineRule="exact"/>
        <w:jc w:val="center"/>
        <w:rPr>
          <w:sz w:val="24"/>
        </w:rPr>
        <w:sectPr>
          <w:pgSz w:w="12240" w:h="15840"/>
          <w:pgMar w:header="0" w:footer="1323" w:top="1380" w:bottom="1520" w:left="1140" w:right="900"/>
        </w:sectPr>
      </w:pPr>
    </w:p>
    <w:p>
      <w:pPr>
        <w:spacing w:before="71"/>
        <w:ind w:left="2725" w:right="2965" w:firstLine="0"/>
        <w:jc w:val="center"/>
        <w:rPr>
          <w:b/>
          <w:sz w:val="24"/>
        </w:rPr>
      </w:pPr>
      <w:r>
        <w:rPr>
          <w:b/>
          <w:sz w:val="24"/>
        </w:rPr>
        <w:t>APPENDIX C</w:t>
      </w:r>
    </w:p>
    <w:p>
      <w:pPr>
        <w:pStyle w:val="BodyText"/>
        <w:spacing w:before="3"/>
        <w:rPr>
          <w:b/>
          <w:sz w:val="21"/>
        </w:rPr>
      </w:pPr>
    </w:p>
    <w:p>
      <w:pPr>
        <w:spacing w:before="0"/>
        <w:ind w:left="2719" w:right="2965" w:firstLine="0"/>
        <w:jc w:val="center"/>
        <w:rPr>
          <w:b/>
          <w:sz w:val="24"/>
        </w:rPr>
      </w:pPr>
      <w:r>
        <w:rPr>
          <w:b/>
          <w:sz w:val="24"/>
        </w:rPr>
        <w:t>PLCB PENALTY STRUCTURE</w:t>
      </w:r>
    </w:p>
    <w:p>
      <w:pPr>
        <w:pStyle w:val="BodyText"/>
        <w:rPr>
          <w:b/>
          <w:sz w:val="26"/>
        </w:rPr>
      </w:pPr>
    </w:p>
    <w:p>
      <w:pPr>
        <w:pStyle w:val="BodyText"/>
        <w:spacing w:before="4"/>
        <w:rPr>
          <w:b/>
          <w:sz w:val="29"/>
        </w:rPr>
      </w:pPr>
    </w:p>
    <w:p>
      <w:pPr>
        <w:pStyle w:val="BodyText"/>
        <w:spacing w:line="247" w:lineRule="auto"/>
        <w:ind w:left="300" w:right="532" w:hanging="12"/>
        <w:jc w:val="both"/>
      </w:pPr>
      <w:r>
        <w:rPr/>
        <w:t>The penalty structure has been designed to align penalty incentives to vendor performance, and</w:t>
      </w:r>
      <w:r>
        <w:rPr>
          <w:spacing w:val="-39"/>
        </w:rPr>
        <w:t> </w:t>
      </w:r>
      <w:r>
        <w:rPr/>
        <w:t>to meet the needs and requirements of the PLCB. Penalties will only be assessed against the aggregate of the Vendor’s SKUs that fall into a particular Velocity Code by DC, not against individual SKUs. The PLCB reserves the right to institute operational policies from time to time, including but not limited to waiver of monthly bailment penalties under certain circumstances, parameters</w:t>
      </w:r>
      <w:r>
        <w:rPr>
          <w:spacing w:val="-8"/>
        </w:rPr>
        <w:t> </w:t>
      </w:r>
      <w:r>
        <w:rPr/>
        <w:t>of</w:t>
      </w:r>
      <w:r>
        <w:rPr>
          <w:spacing w:val="-7"/>
        </w:rPr>
        <w:t> </w:t>
      </w:r>
      <w:r>
        <w:rPr/>
        <w:t>assignment</w:t>
      </w:r>
      <w:r>
        <w:rPr>
          <w:spacing w:val="-8"/>
        </w:rPr>
        <w:t> </w:t>
      </w:r>
      <w:r>
        <w:rPr/>
        <w:t>of</w:t>
      </w:r>
      <w:r>
        <w:rPr>
          <w:spacing w:val="-9"/>
        </w:rPr>
        <w:t> </w:t>
      </w:r>
      <w:r>
        <w:rPr/>
        <w:t>specific</w:t>
      </w:r>
      <w:r>
        <w:rPr>
          <w:spacing w:val="-10"/>
        </w:rPr>
        <w:t> </w:t>
      </w:r>
      <w:r>
        <w:rPr/>
        <w:t>product</w:t>
      </w:r>
      <w:r>
        <w:rPr>
          <w:spacing w:val="-8"/>
        </w:rPr>
        <w:t> </w:t>
      </w:r>
      <w:r>
        <w:rPr/>
        <w:t>to</w:t>
      </w:r>
      <w:r>
        <w:rPr>
          <w:spacing w:val="-9"/>
        </w:rPr>
        <w:t> </w:t>
      </w:r>
      <w:r>
        <w:rPr/>
        <w:t>a</w:t>
      </w:r>
      <w:r>
        <w:rPr>
          <w:spacing w:val="-10"/>
        </w:rPr>
        <w:t> </w:t>
      </w:r>
      <w:r>
        <w:rPr/>
        <w:t>specific</w:t>
      </w:r>
      <w:r>
        <w:rPr>
          <w:spacing w:val="-10"/>
        </w:rPr>
        <w:t> </w:t>
      </w:r>
      <w:r>
        <w:rPr/>
        <w:t>velocity</w:t>
      </w:r>
      <w:r>
        <w:rPr>
          <w:spacing w:val="-9"/>
        </w:rPr>
        <w:t> </w:t>
      </w:r>
      <w:r>
        <w:rPr/>
        <w:t>code,</w:t>
      </w:r>
      <w:r>
        <w:rPr>
          <w:spacing w:val="-6"/>
        </w:rPr>
        <w:t> </w:t>
      </w:r>
      <w:r>
        <w:rPr/>
        <w:t>as</w:t>
      </w:r>
      <w:r>
        <w:rPr>
          <w:spacing w:val="-6"/>
        </w:rPr>
        <w:t> </w:t>
      </w:r>
      <w:r>
        <w:rPr/>
        <w:t>well</w:t>
      </w:r>
      <w:r>
        <w:rPr>
          <w:spacing w:val="-8"/>
        </w:rPr>
        <w:t> </w:t>
      </w:r>
      <w:r>
        <w:rPr/>
        <w:t>as</w:t>
      </w:r>
      <w:r>
        <w:rPr>
          <w:spacing w:val="-8"/>
        </w:rPr>
        <w:t> </w:t>
      </w:r>
      <w:r>
        <w:rPr/>
        <w:t>removal</w:t>
      </w:r>
      <w:r>
        <w:rPr>
          <w:spacing w:val="-8"/>
        </w:rPr>
        <w:t> </w:t>
      </w:r>
      <w:r>
        <w:rPr/>
        <w:t>of</w:t>
      </w:r>
      <w:r>
        <w:rPr>
          <w:spacing w:val="-9"/>
        </w:rPr>
        <w:t> </w:t>
      </w:r>
      <w:r>
        <w:rPr/>
        <w:t>sale codes from the monthly bailment penalty assessment for a defined period, which policies will be provided to all Vendors in writing prior to the effective date of the</w:t>
      </w:r>
      <w:r>
        <w:rPr>
          <w:spacing w:val="-9"/>
        </w:rPr>
        <w:t> </w:t>
      </w:r>
      <w:r>
        <w:rPr/>
        <w:t>policy.</w:t>
      </w:r>
    </w:p>
    <w:p>
      <w:pPr>
        <w:pStyle w:val="BodyText"/>
        <w:spacing w:before="7"/>
        <w:rPr>
          <w:sz w:val="27"/>
        </w:rPr>
      </w:pPr>
    </w:p>
    <w:p>
      <w:pPr>
        <w:spacing w:before="0" w:after="23"/>
        <w:ind w:left="285" w:right="0" w:firstLine="0"/>
        <w:jc w:val="left"/>
        <w:rPr>
          <w:b/>
          <w:sz w:val="24"/>
        </w:rPr>
      </w:pPr>
      <w:r>
        <w:rPr>
          <w:b/>
          <w:sz w:val="24"/>
          <w:u w:val="thick"/>
        </w:rPr>
        <w:t>Service Level Penalty Structure:</w:t>
      </w:r>
    </w:p>
    <w:tbl>
      <w:tblPr>
        <w:tblW w:w="0" w:type="auto"/>
        <w:jc w:val="left"/>
        <w:tblInd w:w="557" w:type="dxa"/>
        <w:tblBorders>
          <w:top w:val="single" w:sz="2" w:space="0" w:color="081D5D"/>
          <w:left w:val="single" w:sz="2" w:space="0" w:color="081D5D"/>
          <w:bottom w:val="single" w:sz="2" w:space="0" w:color="081D5D"/>
          <w:right w:val="single" w:sz="2" w:space="0" w:color="081D5D"/>
          <w:insideH w:val="single" w:sz="2" w:space="0" w:color="081D5D"/>
          <w:insideV w:val="single" w:sz="2" w:space="0" w:color="081D5D"/>
        </w:tblBorders>
        <w:tblLayout w:type="fixed"/>
        <w:tblCellMar>
          <w:top w:w="0" w:type="dxa"/>
          <w:left w:w="0" w:type="dxa"/>
          <w:bottom w:w="0" w:type="dxa"/>
          <w:right w:w="0" w:type="dxa"/>
        </w:tblCellMar>
        <w:tblLook w:val="01E0"/>
      </w:tblPr>
      <w:tblGrid>
        <w:gridCol w:w="2100"/>
        <w:gridCol w:w="3230"/>
        <w:gridCol w:w="3528"/>
      </w:tblGrid>
      <w:tr>
        <w:trPr>
          <w:trHeight w:val="769" w:hRule="atLeast"/>
        </w:trPr>
        <w:tc>
          <w:tcPr>
            <w:tcW w:w="2100" w:type="dxa"/>
            <w:tcBorders>
              <w:bottom w:val="nil"/>
            </w:tcBorders>
          </w:tcPr>
          <w:p>
            <w:pPr>
              <w:pStyle w:val="TableParagraph"/>
              <w:spacing w:before="4"/>
              <w:rPr>
                <w:b/>
                <w:sz w:val="25"/>
              </w:rPr>
            </w:pPr>
          </w:p>
          <w:p>
            <w:pPr>
              <w:pStyle w:val="TableParagraph"/>
              <w:spacing w:before="0"/>
              <w:ind w:left="213"/>
              <w:rPr>
                <w:b/>
                <w:sz w:val="24"/>
              </w:rPr>
            </w:pPr>
            <w:r>
              <w:rPr>
                <w:b/>
                <w:sz w:val="24"/>
              </w:rPr>
              <w:t>Velocity Code</w:t>
            </w:r>
          </w:p>
        </w:tc>
        <w:tc>
          <w:tcPr>
            <w:tcW w:w="3230" w:type="dxa"/>
            <w:tcBorders>
              <w:bottom w:val="nil"/>
            </w:tcBorders>
          </w:tcPr>
          <w:p>
            <w:pPr>
              <w:pStyle w:val="TableParagraph"/>
              <w:spacing w:line="259" w:lineRule="auto" w:before="56"/>
              <w:ind w:left="1295" w:right="418" w:hanging="788"/>
              <w:rPr>
                <w:b/>
                <w:sz w:val="24"/>
              </w:rPr>
            </w:pPr>
            <w:r>
              <w:rPr>
                <w:b/>
                <w:sz w:val="24"/>
              </w:rPr>
              <w:t>If Monthly Fill Rate is Below:</w:t>
            </w:r>
          </w:p>
        </w:tc>
        <w:tc>
          <w:tcPr>
            <w:tcW w:w="3528" w:type="dxa"/>
            <w:tcBorders>
              <w:bottom w:val="nil"/>
            </w:tcBorders>
          </w:tcPr>
          <w:p>
            <w:pPr>
              <w:pStyle w:val="TableParagraph"/>
              <w:spacing w:line="259" w:lineRule="auto" w:before="56"/>
              <w:ind w:left="1034" w:hanging="684"/>
              <w:rPr>
                <w:b/>
                <w:sz w:val="24"/>
              </w:rPr>
            </w:pPr>
            <w:r>
              <w:rPr>
                <w:b/>
                <w:sz w:val="24"/>
              </w:rPr>
              <w:t>Monthly Penalty (Per Case Below Target)</w:t>
            </w:r>
          </w:p>
        </w:tc>
      </w:tr>
      <w:tr>
        <w:trPr>
          <w:trHeight w:val="548" w:hRule="atLeast"/>
        </w:trPr>
        <w:tc>
          <w:tcPr>
            <w:tcW w:w="2100" w:type="dxa"/>
            <w:tcBorders>
              <w:top w:val="nil"/>
              <w:bottom w:val="nil"/>
            </w:tcBorders>
          </w:tcPr>
          <w:p>
            <w:pPr>
              <w:pStyle w:val="TableParagraph"/>
              <w:spacing w:before="129"/>
              <w:ind w:left="31"/>
              <w:jc w:val="center"/>
              <w:rPr>
                <w:sz w:val="24"/>
              </w:rPr>
            </w:pPr>
            <w:r>
              <w:rPr>
                <w:sz w:val="24"/>
              </w:rPr>
              <w:t>A</w:t>
            </w:r>
          </w:p>
        </w:tc>
        <w:tc>
          <w:tcPr>
            <w:tcW w:w="3230" w:type="dxa"/>
            <w:tcBorders>
              <w:top w:val="nil"/>
              <w:bottom w:val="nil"/>
            </w:tcBorders>
          </w:tcPr>
          <w:p>
            <w:pPr>
              <w:pStyle w:val="TableParagraph"/>
              <w:spacing w:before="129"/>
              <w:ind w:left="1283" w:right="1282"/>
              <w:jc w:val="center"/>
              <w:rPr>
                <w:sz w:val="24"/>
              </w:rPr>
            </w:pPr>
            <w:r>
              <w:rPr>
                <w:sz w:val="24"/>
              </w:rPr>
              <w:t>99.0%</w:t>
            </w:r>
          </w:p>
        </w:tc>
        <w:tc>
          <w:tcPr>
            <w:tcW w:w="3528" w:type="dxa"/>
            <w:tcBorders>
              <w:top w:val="nil"/>
              <w:bottom w:val="nil"/>
            </w:tcBorders>
          </w:tcPr>
          <w:p>
            <w:pPr>
              <w:pStyle w:val="TableParagraph"/>
              <w:spacing w:before="129"/>
              <w:ind w:left="1493"/>
              <w:rPr>
                <w:sz w:val="24"/>
              </w:rPr>
            </w:pPr>
            <w:r>
              <w:rPr>
                <w:sz w:val="24"/>
              </w:rPr>
              <w:t>$8.00</w:t>
            </w:r>
          </w:p>
        </w:tc>
      </w:tr>
      <w:tr>
        <w:trPr>
          <w:trHeight w:val="528" w:hRule="atLeast"/>
        </w:trPr>
        <w:tc>
          <w:tcPr>
            <w:tcW w:w="2100" w:type="dxa"/>
            <w:tcBorders>
              <w:top w:val="nil"/>
              <w:bottom w:val="nil"/>
            </w:tcBorders>
          </w:tcPr>
          <w:p>
            <w:pPr>
              <w:pStyle w:val="TableParagraph"/>
              <w:spacing w:before="133"/>
              <w:ind w:left="28"/>
              <w:jc w:val="center"/>
              <w:rPr>
                <w:sz w:val="24"/>
              </w:rPr>
            </w:pPr>
            <w:r>
              <w:rPr>
                <w:sz w:val="24"/>
              </w:rPr>
              <w:t>B</w:t>
            </w:r>
          </w:p>
        </w:tc>
        <w:tc>
          <w:tcPr>
            <w:tcW w:w="3230" w:type="dxa"/>
            <w:tcBorders>
              <w:top w:val="nil"/>
              <w:bottom w:val="nil"/>
            </w:tcBorders>
          </w:tcPr>
          <w:p>
            <w:pPr>
              <w:pStyle w:val="TableParagraph"/>
              <w:spacing w:before="133"/>
              <w:ind w:left="1283" w:right="1282"/>
              <w:jc w:val="center"/>
              <w:rPr>
                <w:sz w:val="24"/>
              </w:rPr>
            </w:pPr>
            <w:r>
              <w:rPr>
                <w:sz w:val="24"/>
              </w:rPr>
              <w:t>95.0%</w:t>
            </w:r>
          </w:p>
        </w:tc>
        <w:tc>
          <w:tcPr>
            <w:tcW w:w="3528" w:type="dxa"/>
            <w:tcBorders>
              <w:top w:val="nil"/>
              <w:bottom w:val="nil"/>
            </w:tcBorders>
          </w:tcPr>
          <w:p>
            <w:pPr>
              <w:pStyle w:val="TableParagraph"/>
              <w:spacing w:before="133"/>
              <w:ind w:left="1493"/>
              <w:rPr>
                <w:sz w:val="24"/>
              </w:rPr>
            </w:pPr>
            <w:r>
              <w:rPr>
                <w:sz w:val="24"/>
              </w:rPr>
              <w:t>$4.00</w:t>
            </w:r>
          </w:p>
        </w:tc>
      </w:tr>
      <w:tr>
        <w:trPr>
          <w:trHeight w:val="556" w:hRule="atLeast"/>
        </w:trPr>
        <w:tc>
          <w:tcPr>
            <w:tcW w:w="2100" w:type="dxa"/>
            <w:tcBorders>
              <w:top w:val="nil"/>
            </w:tcBorders>
          </w:tcPr>
          <w:p>
            <w:pPr>
              <w:pStyle w:val="TableParagraph"/>
              <w:spacing w:before="109"/>
              <w:ind w:left="28"/>
              <w:jc w:val="center"/>
              <w:rPr>
                <w:sz w:val="24"/>
              </w:rPr>
            </w:pPr>
            <w:r>
              <w:rPr>
                <w:sz w:val="24"/>
              </w:rPr>
              <w:t>C</w:t>
            </w:r>
          </w:p>
        </w:tc>
        <w:tc>
          <w:tcPr>
            <w:tcW w:w="3230" w:type="dxa"/>
            <w:tcBorders>
              <w:top w:val="nil"/>
            </w:tcBorders>
          </w:tcPr>
          <w:p>
            <w:pPr>
              <w:pStyle w:val="TableParagraph"/>
              <w:spacing w:before="109"/>
              <w:ind w:left="1283" w:right="1282"/>
              <w:jc w:val="center"/>
              <w:rPr>
                <w:sz w:val="24"/>
              </w:rPr>
            </w:pPr>
            <w:r>
              <w:rPr>
                <w:sz w:val="24"/>
              </w:rPr>
              <w:t>90.0%</w:t>
            </w:r>
          </w:p>
        </w:tc>
        <w:tc>
          <w:tcPr>
            <w:tcW w:w="3528" w:type="dxa"/>
            <w:tcBorders>
              <w:top w:val="nil"/>
            </w:tcBorders>
          </w:tcPr>
          <w:p>
            <w:pPr>
              <w:pStyle w:val="TableParagraph"/>
              <w:spacing w:before="109"/>
              <w:ind w:left="1493"/>
              <w:rPr>
                <w:sz w:val="24"/>
              </w:rPr>
            </w:pPr>
            <w:r>
              <w:rPr>
                <w:sz w:val="24"/>
              </w:rPr>
              <w:t>$3.00</w:t>
            </w:r>
          </w:p>
        </w:tc>
      </w:tr>
    </w:tbl>
    <w:p>
      <w:pPr>
        <w:spacing w:before="0" w:after="22"/>
        <w:ind w:left="285" w:right="0" w:firstLine="0"/>
        <w:jc w:val="left"/>
        <w:rPr>
          <w:b/>
          <w:sz w:val="24"/>
        </w:rPr>
      </w:pPr>
      <w:r>
        <w:rPr>
          <w:b/>
          <w:sz w:val="24"/>
          <w:u w:val="thick"/>
        </w:rPr>
        <w:t>Excess Inventory Penalty Structure:</w:t>
      </w:r>
    </w:p>
    <w:tbl>
      <w:tblPr>
        <w:tblW w:w="0" w:type="auto"/>
        <w:jc w:val="left"/>
        <w:tblInd w:w="547" w:type="dxa"/>
        <w:tblBorders>
          <w:top w:val="single" w:sz="2" w:space="0" w:color="081D5D"/>
          <w:left w:val="single" w:sz="2" w:space="0" w:color="081D5D"/>
          <w:bottom w:val="single" w:sz="2" w:space="0" w:color="081D5D"/>
          <w:right w:val="single" w:sz="2" w:space="0" w:color="081D5D"/>
          <w:insideH w:val="single" w:sz="2" w:space="0" w:color="081D5D"/>
          <w:insideV w:val="single" w:sz="2" w:space="0" w:color="081D5D"/>
        </w:tblBorders>
        <w:tblLayout w:type="fixed"/>
        <w:tblCellMar>
          <w:top w:w="0" w:type="dxa"/>
          <w:left w:w="0" w:type="dxa"/>
          <w:bottom w:w="0" w:type="dxa"/>
          <w:right w:w="0" w:type="dxa"/>
        </w:tblCellMar>
        <w:tblLook w:val="01E0"/>
      </w:tblPr>
      <w:tblGrid>
        <w:gridCol w:w="2098"/>
        <w:gridCol w:w="1083"/>
        <w:gridCol w:w="1081"/>
        <w:gridCol w:w="1081"/>
        <w:gridCol w:w="3539"/>
      </w:tblGrid>
      <w:tr>
        <w:trPr>
          <w:trHeight w:val="928" w:hRule="atLeast"/>
        </w:trPr>
        <w:tc>
          <w:tcPr>
            <w:tcW w:w="2098" w:type="dxa"/>
            <w:tcBorders>
              <w:bottom w:val="nil"/>
            </w:tcBorders>
          </w:tcPr>
          <w:p>
            <w:pPr>
              <w:pStyle w:val="TableParagraph"/>
              <w:spacing w:before="0"/>
              <w:rPr>
                <w:b/>
                <w:sz w:val="26"/>
              </w:rPr>
            </w:pPr>
          </w:p>
          <w:p>
            <w:pPr>
              <w:pStyle w:val="TableParagraph"/>
              <w:spacing w:before="4"/>
              <w:rPr>
                <w:b/>
                <w:sz w:val="24"/>
              </w:rPr>
            </w:pPr>
          </w:p>
          <w:p>
            <w:pPr>
              <w:pStyle w:val="TableParagraph"/>
              <w:spacing w:before="1"/>
              <w:ind w:left="520"/>
              <w:rPr>
                <w:b/>
                <w:sz w:val="24"/>
              </w:rPr>
            </w:pPr>
            <w:r>
              <w:rPr>
                <w:b/>
                <w:sz w:val="24"/>
              </w:rPr>
              <w:t>Threshold</w:t>
            </w:r>
          </w:p>
        </w:tc>
        <w:tc>
          <w:tcPr>
            <w:tcW w:w="3245" w:type="dxa"/>
            <w:gridSpan w:val="3"/>
            <w:tcBorders>
              <w:bottom w:val="nil"/>
            </w:tcBorders>
          </w:tcPr>
          <w:p>
            <w:pPr>
              <w:pStyle w:val="TableParagraph"/>
              <w:spacing w:line="259" w:lineRule="auto" w:before="145"/>
              <w:ind w:left="923" w:right="167" w:hanging="704"/>
              <w:rPr>
                <w:b/>
                <w:sz w:val="24"/>
              </w:rPr>
            </w:pPr>
            <w:r>
              <w:rPr>
                <w:b/>
                <w:sz w:val="24"/>
              </w:rPr>
              <w:t>Weeks of Stock on Hand by Velocity Code</w:t>
            </w:r>
          </w:p>
        </w:tc>
        <w:tc>
          <w:tcPr>
            <w:tcW w:w="3539" w:type="dxa"/>
            <w:vMerge w:val="restart"/>
            <w:tcBorders>
              <w:bottom w:val="nil"/>
            </w:tcBorders>
          </w:tcPr>
          <w:p>
            <w:pPr>
              <w:pStyle w:val="TableParagraph"/>
              <w:spacing w:before="5"/>
              <w:rPr>
                <w:b/>
                <w:sz w:val="37"/>
              </w:rPr>
            </w:pPr>
          </w:p>
          <w:p>
            <w:pPr>
              <w:pStyle w:val="TableParagraph"/>
              <w:spacing w:line="259" w:lineRule="auto" w:before="0"/>
              <w:ind w:left="841" w:hanging="490"/>
              <w:rPr>
                <w:b/>
                <w:sz w:val="24"/>
              </w:rPr>
            </w:pPr>
            <w:r>
              <w:rPr>
                <w:b/>
                <w:sz w:val="24"/>
              </w:rPr>
              <w:t>Monthly Penalty (Per Case Above Threshold)</w:t>
            </w:r>
          </w:p>
        </w:tc>
      </w:tr>
      <w:tr>
        <w:trPr>
          <w:trHeight w:val="532" w:hRule="atLeast"/>
        </w:trPr>
        <w:tc>
          <w:tcPr>
            <w:tcW w:w="2098" w:type="dxa"/>
            <w:tcBorders>
              <w:top w:val="nil"/>
              <w:bottom w:val="nil"/>
            </w:tcBorders>
          </w:tcPr>
          <w:p>
            <w:pPr>
              <w:pStyle w:val="TableParagraph"/>
              <w:spacing w:before="0"/>
              <w:rPr>
                <w:sz w:val="22"/>
              </w:rPr>
            </w:pPr>
          </w:p>
        </w:tc>
        <w:tc>
          <w:tcPr>
            <w:tcW w:w="1083" w:type="dxa"/>
            <w:tcBorders>
              <w:top w:val="nil"/>
              <w:bottom w:val="nil"/>
            </w:tcBorders>
          </w:tcPr>
          <w:p>
            <w:pPr>
              <w:pStyle w:val="TableParagraph"/>
              <w:spacing w:before="116"/>
              <w:ind w:left="1"/>
              <w:jc w:val="center"/>
              <w:rPr>
                <w:b/>
                <w:sz w:val="24"/>
              </w:rPr>
            </w:pPr>
            <w:r>
              <w:rPr>
                <w:b/>
                <w:sz w:val="24"/>
              </w:rPr>
              <w:t>A</w:t>
            </w:r>
          </w:p>
        </w:tc>
        <w:tc>
          <w:tcPr>
            <w:tcW w:w="1081" w:type="dxa"/>
            <w:tcBorders>
              <w:top w:val="nil"/>
              <w:bottom w:val="nil"/>
            </w:tcBorders>
          </w:tcPr>
          <w:p>
            <w:pPr>
              <w:pStyle w:val="TableParagraph"/>
              <w:spacing w:before="116"/>
              <w:ind w:right="1"/>
              <w:jc w:val="center"/>
              <w:rPr>
                <w:b/>
                <w:sz w:val="24"/>
              </w:rPr>
            </w:pPr>
            <w:r>
              <w:rPr>
                <w:b/>
                <w:sz w:val="24"/>
              </w:rPr>
              <w:t>B</w:t>
            </w:r>
          </w:p>
        </w:tc>
        <w:tc>
          <w:tcPr>
            <w:tcW w:w="1081" w:type="dxa"/>
            <w:tcBorders>
              <w:top w:val="nil"/>
              <w:bottom w:val="nil"/>
            </w:tcBorders>
          </w:tcPr>
          <w:p>
            <w:pPr>
              <w:pStyle w:val="TableParagraph"/>
              <w:spacing w:before="116"/>
              <w:jc w:val="center"/>
              <w:rPr>
                <w:b/>
                <w:sz w:val="24"/>
              </w:rPr>
            </w:pPr>
            <w:r>
              <w:rPr>
                <w:b/>
                <w:sz w:val="24"/>
              </w:rPr>
              <w:t>C</w:t>
            </w:r>
          </w:p>
        </w:tc>
        <w:tc>
          <w:tcPr>
            <w:tcW w:w="3539" w:type="dxa"/>
            <w:vMerge/>
            <w:tcBorders>
              <w:top w:val="nil"/>
              <w:bottom w:val="nil"/>
            </w:tcBorders>
          </w:tcPr>
          <w:p>
            <w:pPr>
              <w:rPr>
                <w:sz w:val="2"/>
                <w:szCs w:val="2"/>
              </w:rPr>
            </w:pPr>
          </w:p>
        </w:tc>
      </w:tr>
      <w:tr>
        <w:trPr>
          <w:trHeight w:val="547" w:hRule="atLeast"/>
        </w:trPr>
        <w:tc>
          <w:tcPr>
            <w:tcW w:w="2098" w:type="dxa"/>
            <w:tcBorders>
              <w:top w:val="nil"/>
              <w:bottom w:val="nil"/>
            </w:tcBorders>
          </w:tcPr>
          <w:p>
            <w:pPr>
              <w:pStyle w:val="TableParagraph"/>
              <w:spacing w:before="129"/>
              <w:ind w:left="484"/>
              <w:rPr>
                <w:sz w:val="24"/>
              </w:rPr>
            </w:pPr>
            <w:r>
              <w:rPr>
                <w:sz w:val="24"/>
              </w:rPr>
              <w:t>Threshold 1</w:t>
            </w:r>
          </w:p>
        </w:tc>
        <w:tc>
          <w:tcPr>
            <w:tcW w:w="1083" w:type="dxa"/>
            <w:tcBorders>
              <w:top w:val="nil"/>
              <w:bottom w:val="nil"/>
            </w:tcBorders>
          </w:tcPr>
          <w:p>
            <w:pPr>
              <w:pStyle w:val="TableParagraph"/>
              <w:spacing w:before="129"/>
              <w:ind w:left="222"/>
              <w:rPr>
                <w:sz w:val="24"/>
              </w:rPr>
            </w:pPr>
            <w:r>
              <w:rPr>
                <w:sz w:val="24"/>
              </w:rPr>
              <w:t>5 wks</w:t>
            </w:r>
          </w:p>
        </w:tc>
        <w:tc>
          <w:tcPr>
            <w:tcW w:w="1081" w:type="dxa"/>
            <w:tcBorders>
              <w:top w:val="nil"/>
              <w:bottom w:val="nil"/>
            </w:tcBorders>
          </w:tcPr>
          <w:p>
            <w:pPr>
              <w:pStyle w:val="TableParagraph"/>
              <w:spacing w:before="129"/>
              <w:ind w:left="157" w:right="220"/>
              <w:jc w:val="center"/>
              <w:rPr>
                <w:sz w:val="24"/>
              </w:rPr>
            </w:pPr>
            <w:r>
              <w:rPr>
                <w:sz w:val="24"/>
              </w:rPr>
              <w:t>6 wks</w:t>
            </w:r>
          </w:p>
        </w:tc>
        <w:tc>
          <w:tcPr>
            <w:tcW w:w="1081" w:type="dxa"/>
            <w:tcBorders>
              <w:top w:val="nil"/>
              <w:bottom w:val="nil"/>
            </w:tcBorders>
          </w:tcPr>
          <w:p>
            <w:pPr>
              <w:pStyle w:val="TableParagraph"/>
              <w:spacing w:before="129"/>
              <w:ind w:left="175"/>
              <w:rPr>
                <w:sz w:val="24"/>
              </w:rPr>
            </w:pPr>
            <w:r>
              <w:rPr>
                <w:sz w:val="24"/>
              </w:rPr>
              <w:t>8 wks</w:t>
            </w:r>
          </w:p>
        </w:tc>
        <w:tc>
          <w:tcPr>
            <w:tcW w:w="3539" w:type="dxa"/>
            <w:tcBorders>
              <w:top w:val="nil"/>
              <w:bottom w:val="nil"/>
            </w:tcBorders>
          </w:tcPr>
          <w:p>
            <w:pPr>
              <w:pStyle w:val="TableParagraph"/>
              <w:spacing w:before="129"/>
              <w:ind w:left="1030" w:right="1031"/>
              <w:jc w:val="center"/>
              <w:rPr>
                <w:sz w:val="24"/>
              </w:rPr>
            </w:pPr>
            <w:r>
              <w:rPr>
                <w:sz w:val="24"/>
              </w:rPr>
              <w:t>$1.00 per Case</w:t>
            </w:r>
          </w:p>
        </w:tc>
      </w:tr>
      <w:tr>
        <w:trPr>
          <w:trHeight w:val="550" w:hRule="atLeast"/>
        </w:trPr>
        <w:tc>
          <w:tcPr>
            <w:tcW w:w="2098" w:type="dxa"/>
            <w:tcBorders>
              <w:top w:val="nil"/>
              <w:bottom w:val="nil"/>
            </w:tcBorders>
          </w:tcPr>
          <w:p>
            <w:pPr>
              <w:pStyle w:val="TableParagraph"/>
              <w:spacing w:before="131"/>
              <w:ind w:left="484"/>
              <w:rPr>
                <w:sz w:val="24"/>
              </w:rPr>
            </w:pPr>
            <w:r>
              <w:rPr>
                <w:sz w:val="24"/>
              </w:rPr>
              <w:t>Threshold 2</w:t>
            </w:r>
          </w:p>
        </w:tc>
        <w:tc>
          <w:tcPr>
            <w:tcW w:w="1083" w:type="dxa"/>
            <w:tcBorders>
              <w:top w:val="nil"/>
              <w:bottom w:val="nil"/>
            </w:tcBorders>
          </w:tcPr>
          <w:p>
            <w:pPr>
              <w:pStyle w:val="TableParagraph"/>
              <w:spacing w:before="131"/>
              <w:ind w:left="177"/>
              <w:rPr>
                <w:sz w:val="24"/>
              </w:rPr>
            </w:pPr>
            <w:r>
              <w:rPr>
                <w:sz w:val="24"/>
              </w:rPr>
              <w:t>6 wks</w:t>
            </w:r>
          </w:p>
        </w:tc>
        <w:tc>
          <w:tcPr>
            <w:tcW w:w="1081" w:type="dxa"/>
            <w:tcBorders>
              <w:top w:val="nil"/>
              <w:bottom w:val="nil"/>
            </w:tcBorders>
          </w:tcPr>
          <w:p>
            <w:pPr>
              <w:pStyle w:val="TableParagraph"/>
              <w:spacing w:before="131"/>
              <w:ind w:left="112" w:right="266"/>
              <w:jc w:val="center"/>
              <w:rPr>
                <w:sz w:val="24"/>
              </w:rPr>
            </w:pPr>
            <w:r>
              <w:rPr>
                <w:sz w:val="24"/>
              </w:rPr>
              <w:t>7 wks</w:t>
            </w:r>
          </w:p>
        </w:tc>
        <w:tc>
          <w:tcPr>
            <w:tcW w:w="1081" w:type="dxa"/>
            <w:tcBorders>
              <w:top w:val="nil"/>
              <w:bottom w:val="nil"/>
            </w:tcBorders>
          </w:tcPr>
          <w:p>
            <w:pPr>
              <w:pStyle w:val="TableParagraph"/>
              <w:spacing w:before="131"/>
              <w:ind w:left="105"/>
              <w:rPr>
                <w:sz w:val="24"/>
              </w:rPr>
            </w:pPr>
            <w:r>
              <w:rPr>
                <w:sz w:val="24"/>
              </w:rPr>
              <w:t>9 wks</w:t>
            </w:r>
          </w:p>
        </w:tc>
        <w:tc>
          <w:tcPr>
            <w:tcW w:w="3539" w:type="dxa"/>
            <w:tcBorders>
              <w:top w:val="nil"/>
              <w:bottom w:val="nil"/>
            </w:tcBorders>
          </w:tcPr>
          <w:p>
            <w:pPr>
              <w:pStyle w:val="TableParagraph"/>
              <w:spacing w:before="131"/>
              <w:ind w:left="1030" w:right="1031"/>
              <w:jc w:val="center"/>
              <w:rPr>
                <w:sz w:val="24"/>
              </w:rPr>
            </w:pPr>
            <w:r>
              <w:rPr>
                <w:sz w:val="24"/>
              </w:rPr>
              <w:t>$2.00 per Case</w:t>
            </w:r>
          </w:p>
        </w:tc>
      </w:tr>
      <w:tr>
        <w:trPr>
          <w:trHeight w:val="551" w:hRule="atLeast"/>
        </w:trPr>
        <w:tc>
          <w:tcPr>
            <w:tcW w:w="2098" w:type="dxa"/>
            <w:tcBorders>
              <w:top w:val="nil"/>
            </w:tcBorders>
          </w:tcPr>
          <w:p>
            <w:pPr>
              <w:pStyle w:val="TableParagraph"/>
              <w:spacing w:before="133"/>
              <w:ind w:left="484"/>
              <w:rPr>
                <w:sz w:val="24"/>
              </w:rPr>
            </w:pPr>
            <w:r>
              <w:rPr>
                <w:sz w:val="24"/>
              </w:rPr>
              <w:t>Threshold 3</w:t>
            </w:r>
          </w:p>
        </w:tc>
        <w:tc>
          <w:tcPr>
            <w:tcW w:w="1083" w:type="dxa"/>
            <w:tcBorders>
              <w:top w:val="nil"/>
            </w:tcBorders>
          </w:tcPr>
          <w:p>
            <w:pPr>
              <w:pStyle w:val="TableParagraph"/>
              <w:spacing w:before="133"/>
              <w:ind w:left="177"/>
              <w:rPr>
                <w:sz w:val="24"/>
              </w:rPr>
            </w:pPr>
            <w:r>
              <w:rPr>
                <w:sz w:val="24"/>
              </w:rPr>
              <w:t>7 wks</w:t>
            </w:r>
          </w:p>
        </w:tc>
        <w:tc>
          <w:tcPr>
            <w:tcW w:w="1081" w:type="dxa"/>
            <w:tcBorders>
              <w:top w:val="nil"/>
            </w:tcBorders>
          </w:tcPr>
          <w:p>
            <w:pPr>
              <w:pStyle w:val="TableParagraph"/>
              <w:spacing w:before="133"/>
              <w:ind w:left="157" w:right="220"/>
              <w:jc w:val="center"/>
              <w:rPr>
                <w:sz w:val="24"/>
              </w:rPr>
            </w:pPr>
            <w:r>
              <w:rPr>
                <w:sz w:val="24"/>
              </w:rPr>
              <w:t>8 wks</w:t>
            </w:r>
          </w:p>
        </w:tc>
        <w:tc>
          <w:tcPr>
            <w:tcW w:w="1081" w:type="dxa"/>
            <w:tcBorders>
              <w:top w:val="nil"/>
            </w:tcBorders>
          </w:tcPr>
          <w:p>
            <w:pPr>
              <w:pStyle w:val="TableParagraph"/>
              <w:spacing w:before="133"/>
              <w:ind w:left="151"/>
              <w:rPr>
                <w:sz w:val="24"/>
              </w:rPr>
            </w:pPr>
            <w:r>
              <w:rPr>
                <w:sz w:val="24"/>
              </w:rPr>
              <w:t>10 wks</w:t>
            </w:r>
          </w:p>
        </w:tc>
        <w:tc>
          <w:tcPr>
            <w:tcW w:w="3539" w:type="dxa"/>
            <w:tcBorders>
              <w:top w:val="nil"/>
            </w:tcBorders>
          </w:tcPr>
          <w:p>
            <w:pPr>
              <w:pStyle w:val="TableParagraph"/>
              <w:spacing w:before="133"/>
              <w:ind w:left="1030" w:right="1031"/>
              <w:jc w:val="center"/>
              <w:rPr>
                <w:sz w:val="24"/>
              </w:rPr>
            </w:pPr>
            <w:r>
              <w:rPr>
                <w:sz w:val="24"/>
              </w:rPr>
              <w:t>$4.00 per Case</w:t>
            </w:r>
          </w:p>
        </w:tc>
      </w:tr>
    </w:tbl>
    <w:p>
      <w:pPr>
        <w:pStyle w:val="BodyText"/>
        <w:rPr>
          <w:b/>
          <w:sz w:val="26"/>
        </w:rPr>
      </w:pPr>
    </w:p>
    <w:p>
      <w:pPr>
        <w:pStyle w:val="BodyText"/>
        <w:spacing w:before="7"/>
        <w:rPr>
          <w:b/>
          <w:sz w:val="25"/>
        </w:rPr>
      </w:pPr>
    </w:p>
    <w:p>
      <w:pPr>
        <w:pStyle w:val="BodyText"/>
        <w:spacing w:line="247" w:lineRule="auto" w:before="1"/>
        <w:ind w:left="300" w:right="533" w:hanging="12"/>
        <w:jc w:val="both"/>
      </w:pPr>
      <w:r>
        <w:rPr/>
        <w:t>The</w:t>
      </w:r>
      <w:r>
        <w:rPr>
          <w:spacing w:val="-6"/>
        </w:rPr>
        <w:t> </w:t>
      </w:r>
      <w:r>
        <w:rPr/>
        <w:t>PLCB</w:t>
      </w:r>
      <w:r>
        <w:rPr>
          <w:spacing w:val="-3"/>
        </w:rPr>
        <w:t> </w:t>
      </w:r>
      <w:r>
        <w:rPr/>
        <w:t>will</w:t>
      </w:r>
      <w:r>
        <w:rPr>
          <w:spacing w:val="-3"/>
        </w:rPr>
        <w:t> </w:t>
      </w:r>
      <w:r>
        <w:rPr/>
        <w:t>take</w:t>
      </w:r>
      <w:r>
        <w:rPr>
          <w:spacing w:val="-5"/>
        </w:rPr>
        <w:t> </w:t>
      </w:r>
      <w:r>
        <w:rPr/>
        <w:t>into</w:t>
      </w:r>
      <w:r>
        <w:rPr>
          <w:spacing w:val="-2"/>
        </w:rPr>
        <w:t> </w:t>
      </w:r>
      <w:r>
        <w:rPr/>
        <w:t>account</w:t>
      </w:r>
      <w:r>
        <w:rPr>
          <w:spacing w:val="-3"/>
        </w:rPr>
        <w:t> </w:t>
      </w:r>
      <w:r>
        <w:rPr/>
        <w:t>inventory</w:t>
      </w:r>
      <w:r>
        <w:rPr>
          <w:spacing w:val="-4"/>
        </w:rPr>
        <w:t> </w:t>
      </w:r>
      <w:r>
        <w:rPr/>
        <w:t>levels required</w:t>
      </w:r>
      <w:r>
        <w:rPr>
          <w:spacing w:val="-1"/>
        </w:rPr>
        <w:t> </w:t>
      </w:r>
      <w:r>
        <w:rPr/>
        <w:t>for</w:t>
      </w:r>
      <w:r>
        <w:rPr>
          <w:spacing w:val="-5"/>
        </w:rPr>
        <w:t> </w:t>
      </w:r>
      <w:r>
        <w:rPr/>
        <w:t>monthly</w:t>
      </w:r>
      <w:r>
        <w:rPr>
          <w:spacing w:val="-4"/>
        </w:rPr>
        <w:t> </w:t>
      </w:r>
      <w:r>
        <w:rPr/>
        <w:t>promotions,</w:t>
      </w:r>
      <w:r>
        <w:rPr>
          <w:spacing w:val="-5"/>
        </w:rPr>
        <w:t> </w:t>
      </w:r>
      <w:r>
        <w:rPr/>
        <w:t>in</w:t>
      </w:r>
      <w:r>
        <w:rPr>
          <w:spacing w:val="-4"/>
        </w:rPr>
        <w:t> </w:t>
      </w:r>
      <w:r>
        <w:rPr/>
        <w:t>calculating weeks of</w:t>
      </w:r>
      <w:r>
        <w:rPr>
          <w:spacing w:val="-2"/>
        </w:rPr>
        <w:t> </w:t>
      </w:r>
      <w:r>
        <w:rPr/>
        <w:t>supply.</w:t>
      </w:r>
    </w:p>
    <w:p>
      <w:pPr>
        <w:pStyle w:val="BodyText"/>
        <w:spacing w:before="1"/>
        <w:rPr>
          <w:sz w:val="27"/>
        </w:rPr>
      </w:pPr>
    </w:p>
    <w:p>
      <w:pPr>
        <w:spacing w:before="0"/>
        <w:ind w:left="360" w:right="0" w:firstLine="0"/>
        <w:jc w:val="left"/>
        <w:rPr>
          <w:b/>
          <w:sz w:val="24"/>
        </w:rPr>
      </w:pPr>
      <w:r>
        <w:rPr>
          <w:b/>
          <w:sz w:val="24"/>
          <w:u w:val="thick"/>
        </w:rPr>
        <w:t>Administrative Charge:</w:t>
      </w:r>
    </w:p>
    <w:p>
      <w:pPr>
        <w:pStyle w:val="BodyText"/>
        <w:rPr>
          <w:b/>
          <w:sz w:val="20"/>
        </w:rPr>
      </w:pPr>
    </w:p>
    <w:p>
      <w:pPr>
        <w:pStyle w:val="BodyText"/>
        <w:spacing w:line="247" w:lineRule="auto" w:before="90"/>
        <w:ind w:left="300" w:right="175" w:hanging="12"/>
      </w:pPr>
      <w:r>
        <w:rPr/>
        <w:t>Every month, Vendor performance will be measured against the Penalty Structures, above. In any month where Vendor performance fails to meet the expected service levels or exceeds inventory</w:t>
      </w:r>
    </w:p>
    <w:p>
      <w:pPr>
        <w:spacing w:after="0" w:line="247" w:lineRule="auto"/>
        <w:sectPr>
          <w:pgSz w:w="12240" w:h="15840"/>
          <w:pgMar w:header="0" w:footer="1323" w:top="1380" w:bottom="1520" w:left="1140" w:right="900"/>
        </w:sectPr>
      </w:pPr>
    </w:p>
    <w:p>
      <w:pPr>
        <w:pStyle w:val="BodyText"/>
        <w:spacing w:line="247" w:lineRule="auto" w:before="71"/>
        <w:ind w:left="300" w:right="534"/>
        <w:jc w:val="both"/>
      </w:pPr>
      <w:r>
        <w:rPr/>
        <w:t>thresholds,</w:t>
      </w:r>
      <w:r>
        <w:rPr>
          <w:spacing w:val="-7"/>
        </w:rPr>
        <w:t> </w:t>
      </w:r>
      <w:r>
        <w:rPr/>
        <w:t>the</w:t>
      </w:r>
      <w:r>
        <w:rPr>
          <w:spacing w:val="-8"/>
        </w:rPr>
        <w:t> </w:t>
      </w:r>
      <w:r>
        <w:rPr/>
        <w:t>appropriate</w:t>
      </w:r>
      <w:r>
        <w:rPr>
          <w:spacing w:val="-8"/>
        </w:rPr>
        <w:t> </w:t>
      </w:r>
      <w:r>
        <w:rPr/>
        <w:t>per</w:t>
      </w:r>
      <w:r>
        <w:rPr>
          <w:spacing w:val="-8"/>
        </w:rPr>
        <w:t> </w:t>
      </w:r>
      <w:r>
        <w:rPr/>
        <w:t>case</w:t>
      </w:r>
      <w:r>
        <w:rPr>
          <w:spacing w:val="-8"/>
        </w:rPr>
        <w:t> </w:t>
      </w:r>
      <w:r>
        <w:rPr/>
        <w:t>penalty</w:t>
      </w:r>
      <w:r>
        <w:rPr>
          <w:spacing w:val="-7"/>
        </w:rPr>
        <w:t> </w:t>
      </w:r>
      <w:r>
        <w:rPr/>
        <w:t>will</w:t>
      </w:r>
      <w:r>
        <w:rPr>
          <w:spacing w:val="-7"/>
        </w:rPr>
        <w:t> </w:t>
      </w:r>
      <w:r>
        <w:rPr/>
        <w:t>be</w:t>
      </w:r>
      <w:r>
        <w:rPr>
          <w:spacing w:val="-10"/>
        </w:rPr>
        <w:t> </w:t>
      </w:r>
      <w:r>
        <w:rPr/>
        <w:t>calculated</w:t>
      </w:r>
      <w:r>
        <w:rPr>
          <w:spacing w:val="-7"/>
        </w:rPr>
        <w:t> </w:t>
      </w:r>
      <w:r>
        <w:rPr/>
        <w:t>and</w:t>
      </w:r>
      <w:r>
        <w:rPr>
          <w:spacing w:val="-7"/>
        </w:rPr>
        <w:t> </w:t>
      </w:r>
      <w:r>
        <w:rPr/>
        <w:t>assessed.</w:t>
      </w:r>
      <w:r>
        <w:rPr>
          <w:spacing w:val="48"/>
        </w:rPr>
        <w:t> </w:t>
      </w:r>
      <w:r>
        <w:rPr/>
        <w:t>In</w:t>
      </w:r>
      <w:r>
        <w:rPr>
          <w:spacing w:val="-7"/>
        </w:rPr>
        <w:t> </w:t>
      </w:r>
      <w:r>
        <w:rPr/>
        <w:t>addition,</w:t>
      </w:r>
      <w:r>
        <w:rPr>
          <w:spacing w:val="-7"/>
        </w:rPr>
        <w:t> </w:t>
      </w:r>
      <w:r>
        <w:rPr/>
        <w:t>there</w:t>
      </w:r>
      <w:r>
        <w:rPr>
          <w:spacing w:val="-8"/>
        </w:rPr>
        <w:t> </w:t>
      </w:r>
      <w:r>
        <w:rPr/>
        <w:t>will be a $250.00 administrative charge added to the total of the monthly per case penalties. This administrative charge will only be assessed when any service level or excess inventory penalty is incurred. If performance standards are met, no per case penalty or administrative charge will be assessed.</w:t>
      </w:r>
    </w:p>
    <w:p>
      <w:pPr>
        <w:pStyle w:val="BodyText"/>
        <w:spacing w:line="247" w:lineRule="auto" w:before="191"/>
        <w:ind w:left="299" w:right="534" w:hanging="12"/>
        <w:jc w:val="both"/>
      </w:pPr>
      <w:r>
        <w:rPr/>
        <w:t>In the event that the PLCB obtains payment of the penalty by way of a deduction from a payment owed by the PLCB to the Vendor, the PLCB may, in its discretion, reduce or eliminate the administrative charge related to that penalty.</w:t>
      </w:r>
    </w:p>
    <w:p>
      <w:pPr>
        <w:spacing w:after="0" w:line="247" w:lineRule="auto"/>
        <w:jc w:val="both"/>
        <w:sectPr>
          <w:pgSz w:w="12240" w:h="15840"/>
          <w:pgMar w:header="0" w:footer="1323" w:top="1380" w:bottom="1520" w:left="1140" w:right="900"/>
        </w:sectPr>
      </w:pPr>
    </w:p>
    <w:p>
      <w:pPr>
        <w:pStyle w:val="Heading2"/>
        <w:spacing w:before="71"/>
        <w:ind w:left="2725" w:right="2965"/>
        <w:jc w:val="center"/>
      </w:pPr>
      <w:r>
        <w:rPr/>
        <w:t>APPENDIX D</w:t>
      </w:r>
    </w:p>
    <w:p>
      <w:pPr>
        <w:pStyle w:val="BodyText"/>
        <w:spacing w:before="4"/>
        <w:rPr>
          <w:b/>
          <w:sz w:val="28"/>
        </w:rPr>
      </w:pPr>
    </w:p>
    <w:p>
      <w:pPr>
        <w:spacing w:before="0"/>
        <w:ind w:left="2726" w:right="2965" w:firstLine="0"/>
        <w:jc w:val="center"/>
        <w:rPr>
          <w:b/>
          <w:sz w:val="24"/>
        </w:rPr>
      </w:pPr>
      <w:r>
        <w:rPr>
          <w:b/>
          <w:sz w:val="24"/>
        </w:rPr>
        <w:t>PLCB RETURN TO VENDOR CHARGES</w:t>
      </w:r>
    </w:p>
    <w:p>
      <w:pPr>
        <w:pStyle w:val="BodyText"/>
        <w:rPr>
          <w:b/>
          <w:sz w:val="26"/>
        </w:rPr>
      </w:pPr>
    </w:p>
    <w:p>
      <w:pPr>
        <w:pStyle w:val="BodyText"/>
        <w:spacing w:before="3"/>
        <w:rPr>
          <w:b/>
          <w:sz w:val="28"/>
        </w:rPr>
      </w:pPr>
    </w:p>
    <w:p>
      <w:pPr>
        <w:pStyle w:val="BodyText"/>
        <w:spacing w:line="247" w:lineRule="auto"/>
        <w:ind w:left="300" w:right="531" w:hanging="12"/>
        <w:jc w:val="both"/>
      </w:pPr>
      <w:r>
        <w:rPr/>
        <w:t>The PLCB will assess a charge for all bailment cases returned to the Vendor for any reason. This fee covers the costs of receiving, put-away, storage, retrieval from storage, preparation for shipping, loading on a Vendor-provided truck, and any associated paperwork preparation.</w:t>
      </w:r>
    </w:p>
    <w:p>
      <w:pPr>
        <w:pStyle w:val="BodyText"/>
        <w:rPr>
          <w:sz w:val="26"/>
        </w:rPr>
      </w:pPr>
    </w:p>
    <w:p>
      <w:pPr>
        <w:pStyle w:val="BodyText"/>
        <w:spacing w:line="247" w:lineRule="auto" w:before="1"/>
        <w:ind w:left="300" w:right="529" w:hanging="12"/>
        <w:jc w:val="both"/>
      </w:pPr>
      <w:r>
        <w:rPr/>
        <w:t>A</w:t>
      </w:r>
      <w:r>
        <w:rPr>
          <w:spacing w:val="-10"/>
        </w:rPr>
        <w:t> </w:t>
      </w:r>
      <w:r>
        <w:rPr/>
        <w:t>per-case</w:t>
      </w:r>
      <w:r>
        <w:rPr>
          <w:spacing w:val="-10"/>
        </w:rPr>
        <w:t> </w:t>
      </w:r>
      <w:r>
        <w:rPr/>
        <w:t>charge</w:t>
      </w:r>
      <w:r>
        <w:rPr>
          <w:spacing w:val="-10"/>
        </w:rPr>
        <w:t> </w:t>
      </w:r>
      <w:r>
        <w:rPr/>
        <w:t>will</w:t>
      </w:r>
      <w:r>
        <w:rPr>
          <w:spacing w:val="-8"/>
        </w:rPr>
        <w:t> </w:t>
      </w:r>
      <w:r>
        <w:rPr/>
        <w:t>be</w:t>
      </w:r>
      <w:r>
        <w:rPr>
          <w:spacing w:val="-10"/>
        </w:rPr>
        <w:t> </w:t>
      </w:r>
      <w:r>
        <w:rPr/>
        <w:t>assessed</w:t>
      </w:r>
      <w:r>
        <w:rPr>
          <w:spacing w:val="-9"/>
        </w:rPr>
        <w:t> </w:t>
      </w:r>
      <w:r>
        <w:rPr/>
        <w:t>for</w:t>
      </w:r>
      <w:r>
        <w:rPr>
          <w:spacing w:val="-9"/>
        </w:rPr>
        <w:t> </w:t>
      </w:r>
      <w:r>
        <w:rPr/>
        <w:t>all</w:t>
      </w:r>
      <w:r>
        <w:rPr>
          <w:spacing w:val="-9"/>
        </w:rPr>
        <w:t> </w:t>
      </w:r>
      <w:r>
        <w:rPr/>
        <w:t>cases</w:t>
      </w:r>
      <w:r>
        <w:rPr>
          <w:spacing w:val="-8"/>
        </w:rPr>
        <w:t> </w:t>
      </w:r>
      <w:r>
        <w:rPr/>
        <w:t>returned</w:t>
      </w:r>
      <w:r>
        <w:rPr>
          <w:spacing w:val="-9"/>
        </w:rPr>
        <w:t> </w:t>
      </w:r>
      <w:r>
        <w:rPr/>
        <w:t>to</w:t>
      </w:r>
      <w:r>
        <w:rPr>
          <w:spacing w:val="-9"/>
        </w:rPr>
        <w:t> </w:t>
      </w:r>
      <w:r>
        <w:rPr/>
        <w:t>the</w:t>
      </w:r>
      <w:r>
        <w:rPr>
          <w:spacing w:val="-10"/>
        </w:rPr>
        <w:t> </w:t>
      </w:r>
      <w:r>
        <w:rPr/>
        <w:t>Vendor</w:t>
      </w:r>
      <w:r>
        <w:rPr>
          <w:spacing w:val="-9"/>
        </w:rPr>
        <w:t> </w:t>
      </w:r>
      <w:r>
        <w:rPr/>
        <w:t>where</w:t>
      </w:r>
      <w:r>
        <w:rPr>
          <w:spacing w:val="-11"/>
        </w:rPr>
        <w:t> </w:t>
      </w:r>
      <w:r>
        <w:rPr/>
        <w:t>the</w:t>
      </w:r>
      <w:r>
        <w:rPr>
          <w:spacing w:val="-10"/>
        </w:rPr>
        <w:t> </w:t>
      </w:r>
      <w:r>
        <w:rPr/>
        <w:t>shipping</w:t>
      </w:r>
      <w:r>
        <w:rPr>
          <w:spacing w:val="-9"/>
        </w:rPr>
        <w:t> </w:t>
      </w:r>
      <w:r>
        <w:rPr/>
        <w:t>quantity is not an even, full pallet quantity. In lieu of the per-case charge, a per-pallet charge will be assessed for full pallets of a single item returned to the</w:t>
      </w:r>
      <w:r>
        <w:rPr>
          <w:spacing w:val="-6"/>
        </w:rPr>
        <w:t> </w:t>
      </w:r>
      <w:r>
        <w:rPr/>
        <w:t>Vendor.</w:t>
      </w:r>
    </w:p>
    <w:p>
      <w:pPr>
        <w:pStyle w:val="BodyText"/>
        <w:spacing w:before="2"/>
        <w:rPr>
          <w:sz w:val="26"/>
        </w:rPr>
      </w:pPr>
    </w:p>
    <w:p>
      <w:pPr>
        <w:pStyle w:val="BodyText"/>
        <w:spacing w:line="247" w:lineRule="auto"/>
        <w:ind w:left="300" w:right="535" w:hanging="12"/>
        <w:jc w:val="both"/>
      </w:pPr>
      <w:r>
        <w:rPr/>
        <w:t>The</w:t>
      </w:r>
      <w:r>
        <w:rPr>
          <w:spacing w:val="-11"/>
        </w:rPr>
        <w:t> </w:t>
      </w:r>
      <w:r>
        <w:rPr/>
        <w:t>PLCB</w:t>
      </w:r>
      <w:r>
        <w:rPr>
          <w:spacing w:val="-8"/>
        </w:rPr>
        <w:t> </w:t>
      </w:r>
      <w:r>
        <w:rPr/>
        <w:t>will</w:t>
      </w:r>
      <w:r>
        <w:rPr>
          <w:spacing w:val="-11"/>
        </w:rPr>
        <w:t> </w:t>
      </w:r>
      <w:r>
        <w:rPr/>
        <w:t>not</w:t>
      </w:r>
      <w:r>
        <w:rPr>
          <w:spacing w:val="-9"/>
        </w:rPr>
        <w:t> </w:t>
      </w:r>
      <w:r>
        <w:rPr/>
        <w:t>provide</w:t>
      </w:r>
      <w:r>
        <w:rPr>
          <w:spacing w:val="-10"/>
        </w:rPr>
        <w:t> </w:t>
      </w:r>
      <w:r>
        <w:rPr/>
        <w:t>transportation</w:t>
      </w:r>
      <w:r>
        <w:rPr>
          <w:spacing w:val="-9"/>
        </w:rPr>
        <w:t> </w:t>
      </w:r>
      <w:r>
        <w:rPr/>
        <w:t>or</w:t>
      </w:r>
      <w:r>
        <w:rPr>
          <w:spacing w:val="-10"/>
        </w:rPr>
        <w:t> </w:t>
      </w:r>
      <w:r>
        <w:rPr/>
        <w:t>export</w:t>
      </w:r>
      <w:r>
        <w:rPr>
          <w:spacing w:val="-8"/>
        </w:rPr>
        <w:t> </w:t>
      </w:r>
      <w:r>
        <w:rPr/>
        <w:t>documentation.</w:t>
      </w:r>
      <w:r>
        <w:rPr>
          <w:spacing w:val="42"/>
        </w:rPr>
        <w:t> </w:t>
      </w:r>
      <w:r>
        <w:rPr/>
        <w:t>The</w:t>
      </w:r>
      <w:r>
        <w:rPr>
          <w:spacing w:val="-10"/>
        </w:rPr>
        <w:t> </w:t>
      </w:r>
      <w:r>
        <w:rPr/>
        <w:t>Vendor</w:t>
      </w:r>
      <w:r>
        <w:rPr>
          <w:spacing w:val="-9"/>
        </w:rPr>
        <w:t> </w:t>
      </w:r>
      <w:r>
        <w:rPr/>
        <w:t>is</w:t>
      </w:r>
      <w:r>
        <w:rPr>
          <w:spacing w:val="-9"/>
        </w:rPr>
        <w:t> </w:t>
      </w:r>
      <w:r>
        <w:rPr/>
        <w:t>responsible</w:t>
      </w:r>
      <w:r>
        <w:rPr>
          <w:spacing w:val="-10"/>
        </w:rPr>
        <w:t> </w:t>
      </w:r>
      <w:r>
        <w:rPr/>
        <w:t>for arranging transportation for this return and arranging any paperwork required for international shipments.</w:t>
      </w:r>
    </w:p>
    <w:p>
      <w:pPr>
        <w:pStyle w:val="BodyText"/>
        <w:rPr>
          <w:sz w:val="26"/>
        </w:rPr>
      </w:pPr>
    </w:p>
    <w:p>
      <w:pPr>
        <w:pStyle w:val="BodyText"/>
        <w:spacing w:before="1"/>
        <w:ind w:left="288"/>
        <w:jc w:val="both"/>
      </w:pPr>
      <w:r>
        <w:rPr/>
        <w:t>Charge per case for each case returned: $4.00</w:t>
      </w:r>
    </w:p>
    <w:p>
      <w:pPr>
        <w:pStyle w:val="BodyText"/>
        <w:spacing w:before="24"/>
        <w:ind w:left="288"/>
        <w:jc w:val="both"/>
      </w:pPr>
      <w:r>
        <w:rPr/>
        <w:t>Charge per pallet for each full pallet of a single item:</w:t>
      </w:r>
      <w:r>
        <w:rPr>
          <w:spacing w:val="54"/>
        </w:rPr>
        <w:t> </w:t>
      </w:r>
      <w:r>
        <w:rPr/>
        <w:t>$155.00</w:t>
      </w:r>
    </w:p>
    <w:p>
      <w:pPr>
        <w:pStyle w:val="BodyText"/>
        <w:rPr>
          <w:sz w:val="26"/>
        </w:rPr>
      </w:pPr>
    </w:p>
    <w:p>
      <w:pPr>
        <w:pStyle w:val="BodyText"/>
        <w:rPr>
          <w:sz w:val="26"/>
        </w:rPr>
      </w:pPr>
    </w:p>
    <w:p>
      <w:pPr>
        <w:pStyle w:val="Heading1"/>
        <w:spacing w:line="259" w:lineRule="auto"/>
        <w:ind w:left="364"/>
        <w:jc w:val="left"/>
      </w:pPr>
      <w:r>
        <w:rPr/>
        <w:t>APPENDIX E - STANDARD CONTRACT TERMS AND CONDITIONS FOR WINE, SPIRITS AND ACCESSORIES PURCHASE ORDERS (Form 54-FA-1.1)</w:t>
      </w:r>
    </w:p>
    <w:sectPr>
      <w:pgSz w:w="12240" w:h="15840"/>
      <w:pgMar w:header="0" w:footer="1323" w:top="1380" w:bottom="1520" w:left="1140" w:right="9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Verdana">
    <w:altName w:val="Verdana"/>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26.999405pt;margin-top:742.947327pt;width:157.9pt;height:14.15pt;mso-position-horizontal-relative:page;mso-position-vertical-relative:page;z-index:-252523520" type="#_x0000_t202" filled="false" stroked="false">
          <v:textbox inset="0,0,0,0">
            <w:txbxContent>
              <w:p>
                <w:pPr>
                  <w:spacing w:before="19"/>
                  <w:ind w:left="20" w:right="0" w:firstLine="0"/>
                  <w:jc w:val="left"/>
                  <w:rPr>
                    <w:rFonts w:ascii="Verdana"/>
                    <w:sz w:val="20"/>
                  </w:rPr>
                </w:pPr>
                <w:r>
                  <w:rPr>
                    <w:rFonts w:ascii="Verdana"/>
                    <w:sz w:val="20"/>
                  </w:rPr>
                  <w:t>Appendix N- Bailment Program</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87.517242pt;margin-top:730.702759pt;width:74.850pt;height:14.15pt;mso-position-horizontal-relative:page;mso-position-vertical-relative:page;z-index:-252522496" type="#_x0000_t202" filled="false" stroked="false">
          <v:textbox inset="0,0,0,0">
            <w:txbxContent>
              <w:p>
                <w:pPr>
                  <w:spacing w:before="19"/>
                  <w:ind w:left="20" w:right="0" w:firstLine="0"/>
                  <w:jc w:val="left"/>
                  <w:rPr>
                    <w:rFonts w:ascii="Verdana"/>
                    <w:b/>
                    <w:sz w:val="20"/>
                  </w:rPr>
                </w:pPr>
                <w:r>
                  <w:rPr>
                    <w:rFonts w:ascii="Verdana"/>
                    <w:sz w:val="20"/>
                  </w:rPr>
                  <w:t>Page </w:t>
                </w:r>
                <w:r>
                  <w:rPr/>
                  <w:fldChar w:fldCharType="begin"/>
                </w:r>
                <w:r>
                  <w:rPr>
                    <w:rFonts w:ascii="Verdana"/>
                    <w:b/>
                    <w:sz w:val="20"/>
                  </w:rPr>
                  <w:instrText> PAGE </w:instrText>
                </w:r>
                <w:r>
                  <w:rPr/>
                  <w:fldChar w:fldCharType="separate"/>
                </w:r>
                <w:r>
                  <w:rPr/>
                  <w:t>10</w:t>
                </w:r>
                <w:r>
                  <w:rPr/>
                  <w:fldChar w:fldCharType="end"/>
                </w:r>
                <w:r>
                  <w:rPr>
                    <w:rFonts w:ascii="Verdana"/>
                    <w:b/>
                    <w:sz w:val="20"/>
                  </w:rPr>
                  <w:t> </w:t>
                </w:r>
                <w:r>
                  <w:rPr>
                    <w:rFonts w:ascii="Verdana"/>
                    <w:sz w:val="20"/>
                  </w:rPr>
                  <w:t>of </w:t>
                </w:r>
                <w:r>
                  <w:rPr>
                    <w:rFonts w:ascii="Verdana"/>
                    <w:b/>
                    <w:sz w:val="20"/>
                  </w:rPr>
                  <w:t>17</w:t>
                </w:r>
              </w:p>
            </w:txbxContent>
          </v:textbox>
          <w10:wrap type="none"/>
        </v:shape>
      </w:pict>
    </w:r>
    <w:r>
      <w:rPr/>
      <w:pict>
        <v:shape style="position:absolute;margin-left:237.670639pt;margin-top:742.943604pt;width:157.9pt;height:14.15pt;mso-position-horizontal-relative:page;mso-position-vertical-relative:page;z-index:-252521472" type="#_x0000_t202" filled="false" stroked="false">
          <v:textbox inset="0,0,0,0">
            <w:txbxContent>
              <w:p>
                <w:pPr>
                  <w:spacing w:before="19"/>
                  <w:ind w:left="20" w:right="0" w:firstLine="0"/>
                  <w:jc w:val="left"/>
                  <w:rPr>
                    <w:rFonts w:ascii="Verdana"/>
                    <w:sz w:val="20"/>
                  </w:rPr>
                </w:pPr>
                <w:r>
                  <w:rPr>
                    <w:rFonts w:ascii="Verdana"/>
                    <w:sz w:val="20"/>
                  </w:rPr>
                  <w:t>Appendix N- Bailment Program</w:t>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66.521545pt;margin-top:714.866394pt;width:74.850pt;height:14.15pt;mso-position-horizontal-relative:page;mso-position-vertical-relative:page;z-index:-252520448" type="#_x0000_t202" filled="false" stroked="false">
          <v:textbox inset="0,0,0,0">
            <w:txbxContent>
              <w:p>
                <w:pPr>
                  <w:spacing w:before="19"/>
                  <w:ind w:left="20" w:right="0" w:firstLine="0"/>
                  <w:jc w:val="left"/>
                  <w:rPr>
                    <w:rFonts w:ascii="Verdana"/>
                    <w:b/>
                    <w:sz w:val="20"/>
                  </w:rPr>
                </w:pPr>
                <w:r>
                  <w:rPr>
                    <w:rFonts w:ascii="Verdana"/>
                    <w:sz w:val="20"/>
                  </w:rPr>
                  <w:t>Page </w:t>
                </w:r>
                <w:r>
                  <w:rPr/>
                  <w:fldChar w:fldCharType="begin"/>
                </w:r>
                <w:r>
                  <w:rPr>
                    <w:rFonts w:ascii="Verdana"/>
                    <w:b/>
                    <w:sz w:val="20"/>
                  </w:rPr>
                  <w:instrText> PAGE </w:instrText>
                </w:r>
                <w:r>
                  <w:rPr/>
                  <w:fldChar w:fldCharType="separate"/>
                </w:r>
                <w:r>
                  <w:rPr/>
                  <w:t>13</w:t>
                </w:r>
                <w:r>
                  <w:rPr/>
                  <w:fldChar w:fldCharType="end"/>
                </w:r>
                <w:r>
                  <w:rPr>
                    <w:rFonts w:ascii="Verdana"/>
                    <w:b/>
                    <w:sz w:val="20"/>
                  </w:rPr>
                  <w:t> </w:t>
                </w:r>
                <w:r>
                  <w:rPr>
                    <w:rFonts w:ascii="Verdana"/>
                    <w:sz w:val="20"/>
                  </w:rPr>
                  <w:t>of </w:t>
                </w:r>
                <w:r>
                  <w:rPr>
                    <w:rFonts w:ascii="Verdana"/>
                    <w:b/>
                    <w:sz w:val="20"/>
                  </w:rPr>
                  <w:t>17</w:t>
                </w:r>
              </w:p>
            </w:txbxContent>
          </v:textbox>
          <w10:wrap type="none"/>
        </v:shape>
      </w:pict>
    </w:r>
    <w:r>
      <w:rPr/>
      <w:pict>
        <v:shape style="position:absolute;margin-left:227.113037pt;margin-top:726.987732pt;width:157.9pt;height:14.15pt;mso-position-horizontal-relative:page;mso-position-vertical-relative:page;z-index:-252519424" type="#_x0000_t202" filled="false" stroked="false">
          <v:textbox inset="0,0,0,0">
            <w:txbxContent>
              <w:p>
                <w:pPr>
                  <w:spacing w:before="19"/>
                  <w:ind w:left="20" w:right="0" w:firstLine="0"/>
                  <w:jc w:val="left"/>
                  <w:rPr>
                    <w:rFonts w:ascii="Verdana"/>
                    <w:sz w:val="20"/>
                  </w:rPr>
                </w:pPr>
                <w:r>
                  <w:rPr>
                    <w:rFonts w:ascii="Verdana"/>
                    <w:sz w:val="20"/>
                  </w:rPr>
                  <w:t>Appendix N- Bailment Program</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1"/>
      <w:numFmt w:val="decimal"/>
      <w:lvlText w:val="%1."/>
      <w:lvlJc w:val="left"/>
      <w:pPr>
        <w:ind w:left="540" w:hanging="240"/>
        <w:jc w:val="left"/>
      </w:pPr>
      <w:rPr>
        <w:rFonts w:hint="default"/>
        <w:spacing w:val="-1"/>
        <w:w w:val="100"/>
      </w:rPr>
    </w:lvl>
    <w:lvl w:ilvl="1">
      <w:start w:val="0"/>
      <w:numFmt w:val="bullet"/>
      <w:lvlText w:val="•"/>
      <w:lvlJc w:val="left"/>
      <w:pPr>
        <w:ind w:left="1506" w:hanging="240"/>
      </w:pPr>
      <w:rPr>
        <w:rFonts w:hint="default"/>
      </w:rPr>
    </w:lvl>
    <w:lvl w:ilvl="2">
      <w:start w:val="0"/>
      <w:numFmt w:val="bullet"/>
      <w:lvlText w:val="•"/>
      <w:lvlJc w:val="left"/>
      <w:pPr>
        <w:ind w:left="2472" w:hanging="240"/>
      </w:pPr>
      <w:rPr>
        <w:rFonts w:hint="default"/>
      </w:rPr>
    </w:lvl>
    <w:lvl w:ilvl="3">
      <w:start w:val="0"/>
      <w:numFmt w:val="bullet"/>
      <w:lvlText w:val="•"/>
      <w:lvlJc w:val="left"/>
      <w:pPr>
        <w:ind w:left="3438" w:hanging="240"/>
      </w:pPr>
      <w:rPr>
        <w:rFonts w:hint="default"/>
      </w:rPr>
    </w:lvl>
    <w:lvl w:ilvl="4">
      <w:start w:val="0"/>
      <w:numFmt w:val="bullet"/>
      <w:lvlText w:val="•"/>
      <w:lvlJc w:val="left"/>
      <w:pPr>
        <w:ind w:left="4404" w:hanging="240"/>
      </w:pPr>
      <w:rPr>
        <w:rFonts w:hint="default"/>
      </w:rPr>
    </w:lvl>
    <w:lvl w:ilvl="5">
      <w:start w:val="0"/>
      <w:numFmt w:val="bullet"/>
      <w:lvlText w:val="•"/>
      <w:lvlJc w:val="left"/>
      <w:pPr>
        <w:ind w:left="5370" w:hanging="240"/>
      </w:pPr>
      <w:rPr>
        <w:rFonts w:hint="default"/>
      </w:rPr>
    </w:lvl>
    <w:lvl w:ilvl="6">
      <w:start w:val="0"/>
      <w:numFmt w:val="bullet"/>
      <w:lvlText w:val="•"/>
      <w:lvlJc w:val="left"/>
      <w:pPr>
        <w:ind w:left="6336" w:hanging="240"/>
      </w:pPr>
      <w:rPr>
        <w:rFonts w:hint="default"/>
      </w:rPr>
    </w:lvl>
    <w:lvl w:ilvl="7">
      <w:start w:val="0"/>
      <w:numFmt w:val="bullet"/>
      <w:lvlText w:val="•"/>
      <w:lvlJc w:val="left"/>
      <w:pPr>
        <w:ind w:left="7302" w:hanging="240"/>
      </w:pPr>
      <w:rPr>
        <w:rFonts w:hint="default"/>
      </w:rPr>
    </w:lvl>
    <w:lvl w:ilvl="8">
      <w:start w:val="0"/>
      <w:numFmt w:val="bullet"/>
      <w:lvlText w:val="•"/>
      <w:lvlJc w:val="left"/>
      <w:pPr>
        <w:ind w:left="8268" w:hanging="240"/>
      </w:pPr>
      <w:rPr>
        <w:rFonts w:hint="default"/>
      </w:rPr>
    </w:lvl>
  </w:abstractNum>
  <w:abstractNum w:abstractNumId="1">
    <w:multiLevelType w:val="hybridMultilevel"/>
    <w:lvl w:ilvl="0">
      <w:start w:val="1"/>
      <w:numFmt w:val="decimal"/>
      <w:lvlText w:val="%1."/>
      <w:lvlJc w:val="left"/>
      <w:pPr>
        <w:ind w:left="1020" w:hanging="720"/>
        <w:jc w:val="left"/>
      </w:pPr>
      <w:rPr>
        <w:rFonts w:hint="default" w:ascii="Times New Roman" w:hAnsi="Times New Roman" w:eastAsia="Times New Roman" w:cs="Times New Roman"/>
        <w:spacing w:val="0"/>
        <w:w w:val="100"/>
        <w:sz w:val="28"/>
        <w:szCs w:val="28"/>
      </w:rPr>
    </w:lvl>
    <w:lvl w:ilvl="1">
      <w:start w:val="1"/>
      <w:numFmt w:val="lowerLetter"/>
      <w:lvlText w:val="%2."/>
      <w:lvlJc w:val="left"/>
      <w:pPr>
        <w:ind w:left="1380" w:hanging="360"/>
        <w:jc w:val="left"/>
      </w:pPr>
      <w:rPr>
        <w:rFonts w:hint="default" w:ascii="Times New Roman" w:hAnsi="Times New Roman" w:eastAsia="Times New Roman" w:cs="Times New Roman"/>
        <w:w w:val="100"/>
        <w:sz w:val="28"/>
        <w:szCs w:val="28"/>
      </w:rPr>
    </w:lvl>
    <w:lvl w:ilvl="2">
      <w:start w:val="1"/>
      <w:numFmt w:val="decimal"/>
      <w:lvlText w:val="%3."/>
      <w:lvlJc w:val="left"/>
      <w:pPr>
        <w:ind w:left="2100" w:hanging="360"/>
        <w:jc w:val="left"/>
      </w:pPr>
      <w:rPr>
        <w:rFonts w:hint="default" w:ascii="Times New Roman" w:hAnsi="Times New Roman" w:eastAsia="Times New Roman" w:cs="Times New Roman"/>
        <w:spacing w:val="0"/>
        <w:w w:val="100"/>
        <w:sz w:val="28"/>
        <w:szCs w:val="28"/>
      </w:rPr>
    </w:lvl>
    <w:lvl w:ilvl="3">
      <w:start w:val="0"/>
      <w:numFmt w:val="bullet"/>
      <w:lvlText w:val="•"/>
      <w:lvlJc w:val="left"/>
      <w:pPr>
        <w:ind w:left="2880" w:hanging="360"/>
      </w:pPr>
      <w:rPr>
        <w:rFonts w:hint="default"/>
      </w:rPr>
    </w:lvl>
    <w:lvl w:ilvl="4">
      <w:start w:val="0"/>
      <w:numFmt w:val="bullet"/>
      <w:lvlText w:val="•"/>
      <w:lvlJc w:val="left"/>
      <w:pPr>
        <w:ind w:left="3925" w:hanging="360"/>
      </w:pPr>
      <w:rPr>
        <w:rFonts w:hint="default"/>
      </w:rPr>
    </w:lvl>
    <w:lvl w:ilvl="5">
      <w:start w:val="0"/>
      <w:numFmt w:val="bullet"/>
      <w:lvlText w:val="•"/>
      <w:lvlJc w:val="left"/>
      <w:pPr>
        <w:ind w:left="4971" w:hanging="360"/>
      </w:pPr>
      <w:rPr>
        <w:rFonts w:hint="default"/>
      </w:rPr>
    </w:lvl>
    <w:lvl w:ilvl="6">
      <w:start w:val="0"/>
      <w:numFmt w:val="bullet"/>
      <w:lvlText w:val="•"/>
      <w:lvlJc w:val="left"/>
      <w:pPr>
        <w:ind w:left="6017" w:hanging="360"/>
      </w:pPr>
      <w:rPr>
        <w:rFonts w:hint="default"/>
      </w:rPr>
    </w:lvl>
    <w:lvl w:ilvl="7">
      <w:start w:val="0"/>
      <w:numFmt w:val="bullet"/>
      <w:lvlText w:val="•"/>
      <w:lvlJc w:val="left"/>
      <w:pPr>
        <w:ind w:left="7062" w:hanging="360"/>
      </w:pPr>
      <w:rPr>
        <w:rFonts w:hint="default"/>
      </w:rPr>
    </w:lvl>
    <w:lvl w:ilvl="8">
      <w:start w:val="0"/>
      <w:numFmt w:val="bullet"/>
      <w:lvlText w:val="•"/>
      <w:lvlJc w:val="left"/>
      <w:pPr>
        <w:ind w:left="8108" w:hanging="360"/>
      </w:pPr>
      <w:rPr>
        <w:rFonts w:hint="default"/>
      </w:rPr>
    </w:lvl>
  </w:abstractNum>
  <w:abstractNum w:abstractNumId="0">
    <w:multiLevelType w:val="hybridMultilevel"/>
    <w:lvl w:ilvl="0">
      <w:start w:val="1"/>
      <w:numFmt w:val="decimal"/>
      <w:lvlText w:val="%1."/>
      <w:lvlJc w:val="left"/>
      <w:pPr>
        <w:ind w:left="1020" w:hanging="449"/>
        <w:jc w:val="left"/>
      </w:pPr>
      <w:rPr>
        <w:rFonts w:hint="default" w:ascii="Times New Roman" w:hAnsi="Times New Roman" w:eastAsia="Times New Roman" w:cs="Times New Roman"/>
        <w:spacing w:val="0"/>
        <w:w w:val="100"/>
        <w:sz w:val="28"/>
        <w:szCs w:val="28"/>
      </w:rPr>
    </w:lvl>
    <w:lvl w:ilvl="1">
      <w:start w:val="0"/>
      <w:numFmt w:val="bullet"/>
      <w:lvlText w:val="•"/>
      <w:lvlJc w:val="left"/>
      <w:pPr>
        <w:ind w:left="1938" w:hanging="449"/>
      </w:pPr>
      <w:rPr>
        <w:rFonts w:hint="default"/>
      </w:rPr>
    </w:lvl>
    <w:lvl w:ilvl="2">
      <w:start w:val="0"/>
      <w:numFmt w:val="bullet"/>
      <w:lvlText w:val="•"/>
      <w:lvlJc w:val="left"/>
      <w:pPr>
        <w:ind w:left="2856" w:hanging="449"/>
      </w:pPr>
      <w:rPr>
        <w:rFonts w:hint="default"/>
      </w:rPr>
    </w:lvl>
    <w:lvl w:ilvl="3">
      <w:start w:val="0"/>
      <w:numFmt w:val="bullet"/>
      <w:lvlText w:val="•"/>
      <w:lvlJc w:val="left"/>
      <w:pPr>
        <w:ind w:left="3774" w:hanging="449"/>
      </w:pPr>
      <w:rPr>
        <w:rFonts w:hint="default"/>
      </w:rPr>
    </w:lvl>
    <w:lvl w:ilvl="4">
      <w:start w:val="0"/>
      <w:numFmt w:val="bullet"/>
      <w:lvlText w:val="•"/>
      <w:lvlJc w:val="left"/>
      <w:pPr>
        <w:ind w:left="4692" w:hanging="449"/>
      </w:pPr>
      <w:rPr>
        <w:rFonts w:hint="default"/>
      </w:rPr>
    </w:lvl>
    <w:lvl w:ilvl="5">
      <w:start w:val="0"/>
      <w:numFmt w:val="bullet"/>
      <w:lvlText w:val="•"/>
      <w:lvlJc w:val="left"/>
      <w:pPr>
        <w:ind w:left="5610" w:hanging="449"/>
      </w:pPr>
      <w:rPr>
        <w:rFonts w:hint="default"/>
      </w:rPr>
    </w:lvl>
    <w:lvl w:ilvl="6">
      <w:start w:val="0"/>
      <w:numFmt w:val="bullet"/>
      <w:lvlText w:val="•"/>
      <w:lvlJc w:val="left"/>
      <w:pPr>
        <w:ind w:left="6528" w:hanging="449"/>
      </w:pPr>
      <w:rPr>
        <w:rFonts w:hint="default"/>
      </w:rPr>
    </w:lvl>
    <w:lvl w:ilvl="7">
      <w:start w:val="0"/>
      <w:numFmt w:val="bullet"/>
      <w:lvlText w:val="•"/>
      <w:lvlJc w:val="left"/>
      <w:pPr>
        <w:ind w:left="7446" w:hanging="449"/>
      </w:pPr>
      <w:rPr>
        <w:rFonts w:hint="default"/>
      </w:rPr>
    </w:lvl>
    <w:lvl w:ilvl="8">
      <w:start w:val="0"/>
      <w:numFmt w:val="bullet"/>
      <w:lvlText w:val="•"/>
      <w:lvlJc w:val="left"/>
      <w:pPr>
        <w:ind w:left="8364" w:hanging="449"/>
      </w:pPr>
      <w:rPr>
        <w:rFonts w:hint="default"/>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rPr>
  </w:style>
  <w:style w:styleId="BodyText" w:type="paragraph">
    <w:name w:val="Body Text"/>
    <w:basedOn w:val="Normal"/>
    <w:uiPriority w:val="1"/>
    <w:qFormat/>
    <w:pPr/>
    <w:rPr>
      <w:rFonts w:ascii="Times New Roman" w:hAnsi="Times New Roman" w:eastAsia="Times New Roman" w:cs="Times New Roman"/>
      <w:sz w:val="24"/>
      <w:szCs w:val="24"/>
    </w:rPr>
  </w:style>
  <w:style w:styleId="Heading1" w:type="paragraph">
    <w:name w:val="Heading 1"/>
    <w:basedOn w:val="Normal"/>
    <w:uiPriority w:val="1"/>
    <w:qFormat/>
    <w:pPr>
      <w:ind w:left="2726" w:right="759"/>
      <w:jc w:val="center"/>
      <w:outlineLvl w:val="1"/>
    </w:pPr>
    <w:rPr>
      <w:rFonts w:ascii="Times New Roman" w:hAnsi="Times New Roman" w:eastAsia="Times New Roman" w:cs="Times New Roman"/>
      <w:b/>
      <w:bCs/>
      <w:sz w:val="28"/>
      <w:szCs w:val="28"/>
    </w:rPr>
  </w:style>
  <w:style w:styleId="Heading2" w:type="paragraph">
    <w:name w:val="Heading 2"/>
    <w:basedOn w:val="Normal"/>
    <w:uiPriority w:val="1"/>
    <w:qFormat/>
    <w:pPr>
      <w:ind w:left="285"/>
      <w:outlineLvl w:val="2"/>
    </w:pPr>
    <w:rPr>
      <w:rFonts w:ascii="Times New Roman" w:hAnsi="Times New Roman" w:eastAsia="Times New Roman" w:cs="Times New Roman"/>
      <w:b/>
      <w:bCs/>
      <w:sz w:val="24"/>
      <w:szCs w:val="24"/>
    </w:rPr>
  </w:style>
  <w:style w:styleId="ListParagraph" w:type="paragraph">
    <w:name w:val="List Paragraph"/>
    <w:basedOn w:val="Normal"/>
    <w:uiPriority w:val="1"/>
    <w:qFormat/>
    <w:pPr>
      <w:ind w:left="1020" w:right="524" w:hanging="720"/>
      <w:jc w:val="both"/>
    </w:pPr>
    <w:rPr>
      <w:rFonts w:ascii="Times New Roman" w:hAnsi="Times New Roman" w:eastAsia="Times New Roman" w:cs="Times New Roman"/>
    </w:rPr>
  </w:style>
  <w:style w:styleId="TableParagraph" w:type="paragraph">
    <w:name w:val="Table Paragraph"/>
    <w:basedOn w:val="Normal"/>
    <w:uiPriority w:val="1"/>
    <w:qFormat/>
    <w:pPr>
      <w:spacing w:before="110"/>
    </w:pPr>
    <w:rPr>
      <w:rFonts w:ascii="Times New Roman" w:hAnsi="Times New Roman" w:eastAsia="Times New Roman" w:cs="Times New Roma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 Hardie</dc:creator>
  <dcterms:created xsi:type="dcterms:W3CDTF">2020-07-21T19:30:39Z</dcterms:created>
  <dcterms:modified xsi:type="dcterms:W3CDTF">2020-07-21T19:30:39Z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2020-07-21T00:00:00Z</vt:filetime>
  </property>
  <property fmtid="{D5CDD505-2E9C-101B-9397-08002B2CF9AE}" pid="3" name="Creator">
    <vt:lpwstr>Acrobat PDFMaker 20 for Word</vt:lpwstr>
  </property>
  <property fmtid="{D5CDD505-2E9C-101B-9397-08002B2CF9AE}" pid="4" name="LastSaved">
    <vt:filetime>2020-07-21T00:00:00Z</vt:filetime>
  </property>
</Properties>
</file>